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D5" w:rsidRDefault="00F206D5" w:rsidP="00F206D5">
      <w:pPr>
        <w:jc w:val="center"/>
        <w:rPr>
          <w:b/>
          <w:u w:val="single"/>
          <w:lang w:val="en-GB"/>
        </w:rPr>
      </w:pPr>
      <w:r w:rsidRPr="00F206D5">
        <w:rPr>
          <w:b/>
          <w:u w:val="single"/>
          <w:lang w:val="en-GB"/>
        </w:rPr>
        <w:t>STOURPORT-ON-</w:t>
      </w:r>
      <w:smartTag w:uri="urn:schemas-microsoft-com:office:smarttags" w:element="place">
        <w:r w:rsidRPr="00F206D5">
          <w:rPr>
            <w:b/>
            <w:u w:val="single"/>
            <w:lang w:val="en-GB"/>
          </w:rPr>
          <w:t>SEVERN</w:t>
        </w:r>
      </w:smartTag>
      <w:r w:rsidRPr="00F206D5">
        <w:rPr>
          <w:b/>
          <w:u w:val="single"/>
          <w:lang w:val="en-GB"/>
        </w:rPr>
        <w:t xml:space="preserve"> TOWN COUNCIL</w:t>
      </w:r>
    </w:p>
    <w:p w:rsidR="008B52B6" w:rsidRDefault="008B52B6" w:rsidP="00F206D5">
      <w:pPr>
        <w:jc w:val="center"/>
        <w:rPr>
          <w:b/>
          <w:u w:val="single"/>
          <w:lang w:val="en-GB"/>
        </w:rPr>
      </w:pPr>
    </w:p>
    <w:p w:rsidR="00F206D5" w:rsidRDefault="00F206D5" w:rsidP="008B52B6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FINANCE COMMITTEE</w:t>
      </w:r>
    </w:p>
    <w:p w:rsidR="00F206D5" w:rsidRDefault="008A59ED" w:rsidP="008B52B6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MEETING ON</w:t>
      </w:r>
      <w:r w:rsidR="005E7676">
        <w:rPr>
          <w:b/>
          <w:u w:val="single"/>
          <w:lang w:val="en-GB"/>
        </w:rPr>
        <w:t xml:space="preserve"> </w:t>
      </w:r>
      <w:r w:rsidR="003B0C00">
        <w:rPr>
          <w:b/>
          <w:u w:val="single"/>
          <w:lang w:val="en-GB"/>
        </w:rPr>
        <w:t>25</w:t>
      </w:r>
      <w:r w:rsidR="008B52B6" w:rsidRPr="008B52B6">
        <w:rPr>
          <w:b/>
          <w:u w:val="single"/>
          <w:vertAlign w:val="superscript"/>
          <w:lang w:val="en-GB"/>
        </w:rPr>
        <w:t>TH</w:t>
      </w:r>
      <w:r w:rsidR="008B52B6">
        <w:rPr>
          <w:b/>
          <w:u w:val="single"/>
          <w:lang w:val="en-GB"/>
        </w:rPr>
        <w:t xml:space="preserve"> </w:t>
      </w:r>
      <w:r w:rsidR="003B0C00">
        <w:rPr>
          <w:b/>
          <w:u w:val="single"/>
          <w:lang w:val="en-GB"/>
        </w:rPr>
        <w:t>JAN</w:t>
      </w:r>
      <w:r w:rsidR="00A27E2C">
        <w:rPr>
          <w:b/>
          <w:u w:val="single"/>
          <w:lang w:val="en-GB"/>
        </w:rPr>
        <w:t>UARY</w:t>
      </w:r>
      <w:r w:rsidR="00D46818">
        <w:rPr>
          <w:b/>
          <w:u w:val="single"/>
          <w:lang w:val="en-GB"/>
        </w:rPr>
        <w:t xml:space="preserve"> 20</w:t>
      </w:r>
      <w:r w:rsidR="00A80C9A">
        <w:rPr>
          <w:b/>
          <w:u w:val="single"/>
          <w:lang w:val="en-GB"/>
        </w:rPr>
        <w:t>2</w:t>
      </w:r>
      <w:r w:rsidR="003B0C00">
        <w:rPr>
          <w:b/>
          <w:u w:val="single"/>
          <w:lang w:val="en-GB"/>
        </w:rPr>
        <w:t>1</w:t>
      </w:r>
    </w:p>
    <w:p w:rsidR="00F206D5" w:rsidRDefault="00F206D5" w:rsidP="00F206D5">
      <w:pPr>
        <w:rPr>
          <w:b/>
          <w:u w:val="single"/>
          <w:lang w:val="en-GB"/>
        </w:rPr>
      </w:pPr>
    </w:p>
    <w:p w:rsidR="00F206D5" w:rsidRDefault="00F206D5" w:rsidP="00F206D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REPO</w:t>
      </w:r>
      <w:r w:rsidR="007A3F0C">
        <w:rPr>
          <w:b/>
          <w:u w:val="single"/>
          <w:lang w:val="en-GB"/>
        </w:rPr>
        <w:t>RT OF THE TREASURER ON THE</w:t>
      </w:r>
      <w:r w:rsidR="00D46818">
        <w:rPr>
          <w:b/>
          <w:u w:val="single"/>
          <w:lang w:val="en-GB"/>
        </w:rPr>
        <w:t xml:space="preserve"> BUDGET 20</w:t>
      </w:r>
      <w:r w:rsidR="00F248C7">
        <w:rPr>
          <w:b/>
          <w:u w:val="single"/>
          <w:lang w:val="en-GB"/>
        </w:rPr>
        <w:t>2</w:t>
      </w:r>
      <w:r w:rsidR="003B0C00">
        <w:rPr>
          <w:b/>
          <w:u w:val="single"/>
          <w:lang w:val="en-GB"/>
        </w:rPr>
        <w:t>1</w:t>
      </w:r>
      <w:r w:rsidR="00D46818">
        <w:rPr>
          <w:b/>
          <w:u w:val="single"/>
          <w:lang w:val="en-GB"/>
        </w:rPr>
        <w:t>/</w:t>
      </w:r>
      <w:r w:rsidR="00642847">
        <w:rPr>
          <w:b/>
          <w:u w:val="single"/>
          <w:lang w:val="en-GB"/>
        </w:rPr>
        <w:t>2</w:t>
      </w:r>
      <w:r w:rsidR="003B0C00">
        <w:rPr>
          <w:b/>
          <w:u w:val="single"/>
          <w:lang w:val="en-GB"/>
        </w:rPr>
        <w:t>2</w:t>
      </w:r>
    </w:p>
    <w:p w:rsidR="00F206D5" w:rsidRDefault="00F206D5" w:rsidP="00DA1EEB">
      <w:pPr>
        <w:rPr>
          <w:b/>
          <w:lang w:val="en-GB"/>
        </w:rPr>
      </w:pPr>
    </w:p>
    <w:p w:rsidR="008B52B6" w:rsidRDefault="008B52B6" w:rsidP="00DA1EEB">
      <w:pPr>
        <w:rPr>
          <w:b/>
          <w:lang w:val="en-GB"/>
        </w:rPr>
      </w:pPr>
    </w:p>
    <w:p w:rsidR="008B52B6" w:rsidRPr="005F69BF" w:rsidRDefault="008B52B6" w:rsidP="00DA1EEB">
      <w:pPr>
        <w:rPr>
          <w:b/>
          <w:lang w:val="en-GB"/>
        </w:rPr>
      </w:pPr>
    </w:p>
    <w:p w:rsidR="00457938" w:rsidRDefault="002B1E65" w:rsidP="00893C87">
      <w:pPr>
        <w:rPr>
          <w:b/>
          <w:u w:val="single"/>
          <w:lang w:val="en-GB"/>
        </w:rPr>
      </w:pPr>
      <w:r>
        <w:rPr>
          <w:b/>
          <w:lang w:val="en-GB"/>
        </w:rPr>
        <w:t xml:space="preserve">1. </w:t>
      </w:r>
      <w:r>
        <w:rPr>
          <w:b/>
          <w:lang w:val="en-GB"/>
        </w:rPr>
        <w:tab/>
      </w:r>
      <w:r w:rsidR="008A68A1" w:rsidRPr="008A68A1">
        <w:rPr>
          <w:b/>
          <w:u w:val="single"/>
          <w:lang w:val="en-GB"/>
        </w:rPr>
        <w:t>INTRODUCTION</w:t>
      </w:r>
    </w:p>
    <w:p w:rsidR="008B52B6" w:rsidRPr="005F69BF" w:rsidRDefault="008B52B6" w:rsidP="00893C87">
      <w:pPr>
        <w:rPr>
          <w:b/>
          <w:u w:val="single"/>
          <w:lang w:val="en-GB"/>
        </w:rPr>
      </w:pPr>
    </w:p>
    <w:p w:rsidR="00F6666C" w:rsidRDefault="00F206D5" w:rsidP="00874FC2">
      <w:pPr>
        <w:ind w:left="720"/>
        <w:jc w:val="both"/>
        <w:rPr>
          <w:lang w:val="en-GB"/>
        </w:rPr>
      </w:pPr>
      <w:r>
        <w:rPr>
          <w:lang w:val="en-GB"/>
        </w:rPr>
        <w:t>T</w:t>
      </w:r>
      <w:r w:rsidR="008A68A1">
        <w:rPr>
          <w:lang w:val="en-GB"/>
        </w:rPr>
        <w:t xml:space="preserve">he Committee needs to recommend a </w:t>
      </w:r>
      <w:r w:rsidR="00874FC2">
        <w:rPr>
          <w:lang w:val="en-GB"/>
        </w:rPr>
        <w:t xml:space="preserve">budget and a </w:t>
      </w:r>
      <w:r w:rsidR="008A68A1">
        <w:rPr>
          <w:lang w:val="en-GB"/>
        </w:rPr>
        <w:t>precept for 20</w:t>
      </w:r>
      <w:r w:rsidR="00F248C7">
        <w:rPr>
          <w:lang w:val="en-GB"/>
        </w:rPr>
        <w:t>2</w:t>
      </w:r>
      <w:r w:rsidR="003B0C00">
        <w:rPr>
          <w:lang w:val="en-GB"/>
        </w:rPr>
        <w:t>1</w:t>
      </w:r>
      <w:r w:rsidR="008A68A1">
        <w:rPr>
          <w:lang w:val="en-GB"/>
        </w:rPr>
        <w:t>/</w:t>
      </w:r>
      <w:r w:rsidR="00642847">
        <w:rPr>
          <w:lang w:val="en-GB"/>
        </w:rPr>
        <w:t>2</w:t>
      </w:r>
      <w:r w:rsidR="003B0C00">
        <w:rPr>
          <w:lang w:val="en-GB"/>
        </w:rPr>
        <w:t>2</w:t>
      </w:r>
      <w:r w:rsidR="008A68A1">
        <w:rPr>
          <w:lang w:val="en-GB"/>
        </w:rPr>
        <w:t xml:space="preserve"> to the Council. </w:t>
      </w:r>
    </w:p>
    <w:p w:rsidR="00F6666C" w:rsidRDefault="00F6666C" w:rsidP="00874FC2">
      <w:pPr>
        <w:ind w:left="720"/>
        <w:jc w:val="both"/>
        <w:rPr>
          <w:lang w:val="en-GB"/>
        </w:rPr>
      </w:pPr>
    </w:p>
    <w:p w:rsidR="003B0C00" w:rsidRDefault="00874FC2" w:rsidP="002232B0">
      <w:pPr>
        <w:ind w:left="720"/>
        <w:jc w:val="both"/>
        <w:rPr>
          <w:lang w:val="en-GB"/>
        </w:rPr>
      </w:pPr>
      <w:r w:rsidRPr="00874FC2">
        <w:rPr>
          <w:lang w:val="en-GB"/>
        </w:rPr>
        <w:t xml:space="preserve">Members </w:t>
      </w:r>
      <w:r w:rsidR="00642847">
        <w:rPr>
          <w:lang w:val="en-GB"/>
        </w:rPr>
        <w:t>may</w:t>
      </w:r>
      <w:r w:rsidRPr="00874FC2">
        <w:rPr>
          <w:lang w:val="en-GB"/>
        </w:rPr>
        <w:t xml:space="preserve"> recall that </w:t>
      </w:r>
      <w:r w:rsidR="003B0C00">
        <w:rPr>
          <w:lang w:val="en-GB"/>
        </w:rPr>
        <w:t xml:space="preserve">12 months ago the Council approved a 24% increase in the precept from £31.40 to £39. </w:t>
      </w:r>
      <w:r w:rsidR="008B52B6">
        <w:rPr>
          <w:lang w:val="en-GB"/>
        </w:rPr>
        <w:t xml:space="preserve"> </w:t>
      </w:r>
      <w:r w:rsidR="003B0C00">
        <w:rPr>
          <w:lang w:val="en-GB"/>
        </w:rPr>
        <w:t xml:space="preserve">The Council also approved an increase in cemetery fees, based on increasing the ‘headline’ fee from £720 to £800. </w:t>
      </w:r>
    </w:p>
    <w:p w:rsidR="003B0C00" w:rsidRDefault="003B0C00" w:rsidP="002232B0">
      <w:pPr>
        <w:ind w:left="720"/>
        <w:jc w:val="both"/>
        <w:rPr>
          <w:lang w:val="en-GB"/>
        </w:rPr>
      </w:pPr>
    </w:p>
    <w:p w:rsidR="00874FC2" w:rsidRDefault="00874FC2" w:rsidP="00874FC2">
      <w:pPr>
        <w:ind w:left="720"/>
        <w:rPr>
          <w:lang w:val="en-GB"/>
        </w:rPr>
      </w:pPr>
      <w:r w:rsidRPr="00874FC2">
        <w:rPr>
          <w:lang w:val="en-GB"/>
        </w:rPr>
        <w:t>The appendices attached provide:</w:t>
      </w:r>
    </w:p>
    <w:p w:rsidR="008B52B6" w:rsidRPr="00874FC2" w:rsidRDefault="008B52B6" w:rsidP="00874FC2">
      <w:pPr>
        <w:ind w:left="720"/>
        <w:rPr>
          <w:lang w:val="en-GB"/>
        </w:rPr>
      </w:pPr>
    </w:p>
    <w:p w:rsidR="00874FC2" w:rsidRPr="00874FC2" w:rsidRDefault="00874FC2" w:rsidP="008B52B6">
      <w:pPr>
        <w:pStyle w:val="ListParagraph"/>
        <w:numPr>
          <w:ilvl w:val="0"/>
          <w:numId w:val="11"/>
        </w:numPr>
        <w:ind w:left="1434" w:hanging="357"/>
        <w:rPr>
          <w:lang w:val="en-GB"/>
        </w:rPr>
      </w:pPr>
      <w:r w:rsidRPr="00874FC2">
        <w:rPr>
          <w:lang w:val="en-GB"/>
        </w:rPr>
        <w:t>Revised estimates for the current year;</w:t>
      </w:r>
    </w:p>
    <w:p w:rsidR="00874FC2" w:rsidRPr="00874FC2" w:rsidRDefault="00181390" w:rsidP="008B52B6">
      <w:pPr>
        <w:pStyle w:val="ListParagraph"/>
        <w:numPr>
          <w:ilvl w:val="0"/>
          <w:numId w:val="11"/>
        </w:numPr>
        <w:ind w:left="1434" w:hanging="357"/>
        <w:rPr>
          <w:lang w:val="en-GB"/>
        </w:rPr>
      </w:pPr>
      <w:r>
        <w:rPr>
          <w:lang w:val="en-GB"/>
        </w:rPr>
        <w:t xml:space="preserve">A draft budget </w:t>
      </w:r>
      <w:r w:rsidR="00874FC2" w:rsidRPr="00874FC2">
        <w:rPr>
          <w:lang w:val="en-GB"/>
        </w:rPr>
        <w:t>for 20</w:t>
      </w:r>
      <w:r w:rsidR="00C84F17">
        <w:rPr>
          <w:lang w:val="en-GB"/>
        </w:rPr>
        <w:t>20</w:t>
      </w:r>
      <w:r w:rsidR="00874FC2" w:rsidRPr="00874FC2">
        <w:rPr>
          <w:lang w:val="en-GB"/>
        </w:rPr>
        <w:t>/</w:t>
      </w:r>
      <w:r w:rsidR="00F82BA4">
        <w:rPr>
          <w:lang w:val="en-GB"/>
        </w:rPr>
        <w:t>2</w:t>
      </w:r>
      <w:r w:rsidR="00C84F17">
        <w:rPr>
          <w:lang w:val="en-GB"/>
        </w:rPr>
        <w:t>1</w:t>
      </w:r>
      <w:r w:rsidR="00874FC2" w:rsidRPr="00874FC2">
        <w:rPr>
          <w:lang w:val="en-GB"/>
        </w:rPr>
        <w:t>; and</w:t>
      </w:r>
    </w:p>
    <w:p w:rsidR="00874FC2" w:rsidRDefault="00874FC2" w:rsidP="008B52B6">
      <w:pPr>
        <w:pStyle w:val="ListParagraph"/>
        <w:numPr>
          <w:ilvl w:val="0"/>
          <w:numId w:val="11"/>
        </w:numPr>
        <w:ind w:left="1434" w:hanging="357"/>
        <w:rPr>
          <w:lang w:val="en-GB"/>
        </w:rPr>
      </w:pPr>
      <w:r w:rsidRPr="00874FC2">
        <w:rPr>
          <w:lang w:val="en-GB"/>
        </w:rPr>
        <w:t>A projection for 20</w:t>
      </w:r>
      <w:r w:rsidR="00F82BA4">
        <w:rPr>
          <w:lang w:val="en-GB"/>
        </w:rPr>
        <w:t>2</w:t>
      </w:r>
      <w:r w:rsidR="00C84F17">
        <w:rPr>
          <w:lang w:val="en-GB"/>
        </w:rPr>
        <w:t>1</w:t>
      </w:r>
      <w:r w:rsidRPr="00874FC2">
        <w:rPr>
          <w:lang w:val="en-GB"/>
        </w:rPr>
        <w:t>/</w:t>
      </w:r>
      <w:r w:rsidR="00181390">
        <w:rPr>
          <w:lang w:val="en-GB"/>
        </w:rPr>
        <w:t>2</w:t>
      </w:r>
      <w:r w:rsidR="00C84F17">
        <w:rPr>
          <w:lang w:val="en-GB"/>
        </w:rPr>
        <w:t>2</w:t>
      </w:r>
      <w:r w:rsidR="00F82BA4">
        <w:rPr>
          <w:lang w:val="en-GB"/>
        </w:rPr>
        <w:t>.</w:t>
      </w:r>
      <w:r w:rsidR="00667603">
        <w:rPr>
          <w:lang w:val="en-GB"/>
        </w:rPr>
        <w:t xml:space="preserve"> </w:t>
      </w:r>
    </w:p>
    <w:p w:rsidR="00667603" w:rsidRDefault="00667603" w:rsidP="008B52B6">
      <w:pPr>
        <w:rPr>
          <w:lang w:val="en-GB"/>
        </w:rPr>
      </w:pPr>
    </w:p>
    <w:p w:rsidR="003A127D" w:rsidRDefault="00D86705" w:rsidP="00F500B0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2</w:t>
      </w:r>
      <w:r w:rsidR="002B1E65">
        <w:rPr>
          <w:b/>
          <w:lang w:val="en-GB"/>
        </w:rPr>
        <w:t>.</w:t>
      </w:r>
      <w:r w:rsidR="002B1E65">
        <w:rPr>
          <w:b/>
          <w:lang w:val="en-GB"/>
        </w:rPr>
        <w:tab/>
      </w:r>
      <w:r w:rsidR="006459CE">
        <w:rPr>
          <w:b/>
          <w:u w:val="single"/>
          <w:lang w:val="en-GB"/>
        </w:rPr>
        <w:t xml:space="preserve">ACTUAL </w:t>
      </w:r>
      <w:r w:rsidR="00F14FB5">
        <w:rPr>
          <w:b/>
          <w:u w:val="single"/>
          <w:lang w:val="en-GB"/>
        </w:rPr>
        <w:t>INCOME AND EXPENDITURE</w:t>
      </w:r>
      <w:r w:rsidR="006459CE">
        <w:rPr>
          <w:b/>
          <w:u w:val="single"/>
          <w:lang w:val="en-GB"/>
        </w:rPr>
        <w:t xml:space="preserve"> </w:t>
      </w:r>
      <w:r w:rsidR="00D46818">
        <w:rPr>
          <w:b/>
          <w:u w:val="single"/>
          <w:lang w:val="en-GB"/>
        </w:rPr>
        <w:t xml:space="preserve">TO </w:t>
      </w:r>
      <w:r w:rsidR="00F14FB5">
        <w:rPr>
          <w:b/>
          <w:u w:val="single"/>
          <w:lang w:val="en-GB"/>
        </w:rPr>
        <w:t>3</w:t>
      </w:r>
      <w:r w:rsidR="00F82BA4">
        <w:rPr>
          <w:b/>
          <w:u w:val="single"/>
          <w:lang w:val="en-GB"/>
        </w:rPr>
        <w:t>1</w:t>
      </w:r>
      <w:r w:rsidR="00F82BA4" w:rsidRPr="00F82BA4">
        <w:rPr>
          <w:b/>
          <w:u w:val="single"/>
          <w:vertAlign w:val="superscript"/>
          <w:lang w:val="en-GB"/>
        </w:rPr>
        <w:t>st</w:t>
      </w:r>
      <w:r w:rsidR="00F82BA4">
        <w:rPr>
          <w:b/>
          <w:u w:val="single"/>
          <w:lang w:val="en-GB"/>
        </w:rPr>
        <w:t xml:space="preserve"> DECEMBER </w:t>
      </w:r>
      <w:r w:rsidR="00D46818">
        <w:rPr>
          <w:b/>
          <w:u w:val="single"/>
          <w:lang w:val="en-GB"/>
        </w:rPr>
        <w:t>20</w:t>
      </w:r>
      <w:r w:rsidR="003B0C00">
        <w:rPr>
          <w:b/>
          <w:u w:val="single"/>
          <w:lang w:val="en-GB"/>
        </w:rPr>
        <w:t>20</w:t>
      </w:r>
    </w:p>
    <w:p w:rsidR="000B7423" w:rsidRPr="005F69BF" w:rsidRDefault="000B7423" w:rsidP="00F500B0">
      <w:pPr>
        <w:jc w:val="both"/>
        <w:rPr>
          <w:b/>
          <w:u w:val="single"/>
          <w:lang w:val="en-GB"/>
        </w:rPr>
      </w:pPr>
    </w:p>
    <w:p w:rsidR="00BD55C2" w:rsidRDefault="00171790" w:rsidP="00CF38BC">
      <w:pPr>
        <w:ind w:left="720" w:hanging="720"/>
        <w:jc w:val="both"/>
        <w:rPr>
          <w:lang w:val="en-GB"/>
        </w:rPr>
      </w:pPr>
      <w:r>
        <w:rPr>
          <w:lang w:val="en-GB"/>
        </w:rPr>
        <w:tab/>
      </w:r>
      <w:r w:rsidR="00855499">
        <w:rPr>
          <w:lang w:val="en-GB"/>
        </w:rPr>
        <w:t>Acce</w:t>
      </w:r>
      <w:r w:rsidR="002B1E65">
        <w:rPr>
          <w:lang w:val="en-GB"/>
        </w:rPr>
        <w:t>pted good accounting practice</w:t>
      </w:r>
      <w:r w:rsidR="00855499">
        <w:rPr>
          <w:lang w:val="en-GB"/>
        </w:rPr>
        <w:t xml:space="preserve"> require</w:t>
      </w:r>
      <w:r w:rsidR="002B1E65">
        <w:rPr>
          <w:lang w:val="en-GB"/>
        </w:rPr>
        <w:t>s that budgetary control be carried out during each</w:t>
      </w:r>
      <w:r w:rsidR="00855499">
        <w:rPr>
          <w:lang w:val="en-GB"/>
        </w:rPr>
        <w:t xml:space="preserve"> financial year.</w:t>
      </w:r>
      <w:r w:rsidR="008B52B6">
        <w:rPr>
          <w:lang w:val="en-GB"/>
        </w:rPr>
        <w:t xml:space="preserve"> </w:t>
      </w:r>
      <w:r w:rsidR="00855499">
        <w:rPr>
          <w:lang w:val="en-GB"/>
        </w:rPr>
        <w:t xml:space="preserve"> </w:t>
      </w:r>
      <w:r w:rsidR="00CF38BC">
        <w:rPr>
          <w:lang w:val="en-GB"/>
        </w:rPr>
        <w:t xml:space="preserve">This has been happening as usual </w:t>
      </w:r>
      <w:r w:rsidR="003B0C00">
        <w:rPr>
          <w:lang w:val="en-GB"/>
        </w:rPr>
        <w:t xml:space="preserve">at officer level but also by this Committee </w:t>
      </w:r>
      <w:r w:rsidR="00BD55C2">
        <w:rPr>
          <w:lang w:val="en-GB"/>
        </w:rPr>
        <w:t xml:space="preserve">in November </w:t>
      </w:r>
      <w:r w:rsidR="003B0C00">
        <w:rPr>
          <w:lang w:val="en-GB"/>
        </w:rPr>
        <w:t xml:space="preserve">when it considered a report on </w:t>
      </w:r>
      <w:r w:rsidR="00BD55C2">
        <w:rPr>
          <w:lang w:val="en-GB"/>
        </w:rPr>
        <w:t>budgetary control at the halfway stage of the financial year.</w:t>
      </w:r>
    </w:p>
    <w:p w:rsidR="00BD55C2" w:rsidRDefault="00BD55C2" w:rsidP="00CF38BC">
      <w:pPr>
        <w:ind w:left="720" w:hanging="720"/>
        <w:jc w:val="both"/>
        <w:rPr>
          <w:lang w:val="en-GB"/>
        </w:rPr>
      </w:pPr>
    </w:p>
    <w:p w:rsidR="005F69BF" w:rsidRDefault="00BD55C2" w:rsidP="00BD55C2">
      <w:pPr>
        <w:ind w:left="720"/>
        <w:jc w:val="both"/>
        <w:rPr>
          <w:lang w:val="en-GB"/>
        </w:rPr>
      </w:pPr>
      <w:r>
        <w:rPr>
          <w:lang w:val="en-GB"/>
        </w:rPr>
        <w:t xml:space="preserve">These </w:t>
      </w:r>
      <w:r w:rsidR="00CF38BC">
        <w:rPr>
          <w:lang w:val="en-GB"/>
        </w:rPr>
        <w:t xml:space="preserve">papers </w:t>
      </w:r>
      <w:r>
        <w:rPr>
          <w:lang w:val="en-GB"/>
        </w:rPr>
        <w:t xml:space="preserve">do </w:t>
      </w:r>
      <w:r w:rsidR="00CF38BC">
        <w:rPr>
          <w:lang w:val="en-GB"/>
        </w:rPr>
        <w:t>inclu</w:t>
      </w:r>
      <w:r>
        <w:rPr>
          <w:lang w:val="en-GB"/>
        </w:rPr>
        <w:t xml:space="preserve">de </w:t>
      </w:r>
      <w:r w:rsidR="00CF38BC">
        <w:rPr>
          <w:lang w:val="en-GB"/>
        </w:rPr>
        <w:t xml:space="preserve">a column showing ‘Actual Apr-Dec’ and this is </w:t>
      </w:r>
      <w:r w:rsidR="00C84F17">
        <w:rPr>
          <w:lang w:val="en-GB"/>
        </w:rPr>
        <w:t>taken into account</w:t>
      </w:r>
      <w:r w:rsidR="00CF38BC">
        <w:rPr>
          <w:lang w:val="en-GB"/>
        </w:rPr>
        <w:t xml:space="preserve"> in the next column i.e. </w:t>
      </w:r>
      <w:r w:rsidR="006C3305">
        <w:rPr>
          <w:lang w:val="en-GB"/>
        </w:rPr>
        <w:t xml:space="preserve">Revised </w:t>
      </w:r>
      <w:r w:rsidR="004A5097">
        <w:rPr>
          <w:lang w:val="en-GB"/>
        </w:rPr>
        <w:t>Estimate</w:t>
      </w:r>
      <w:r w:rsidR="006C3305">
        <w:rPr>
          <w:lang w:val="en-GB"/>
        </w:rPr>
        <w:t xml:space="preserve"> </w:t>
      </w:r>
      <w:r w:rsidR="00D46818">
        <w:rPr>
          <w:lang w:val="en-GB"/>
        </w:rPr>
        <w:t>for 20</w:t>
      </w:r>
      <w:r w:rsidR="00246CBD">
        <w:rPr>
          <w:lang w:val="en-GB"/>
        </w:rPr>
        <w:t>20</w:t>
      </w:r>
      <w:r w:rsidR="00D46818">
        <w:rPr>
          <w:lang w:val="en-GB"/>
        </w:rPr>
        <w:t>/</w:t>
      </w:r>
      <w:r w:rsidR="00FF2D8D">
        <w:rPr>
          <w:lang w:val="en-GB"/>
        </w:rPr>
        <w:t>2</w:t>
      </w:r>
      <w:r w:rsidR="00246CBD">
        <w:rPr>
          <w:lang w:val="en-GB"/>
        </w:rPr>
        <w:t>1</w:t>
      </w:r>
      <w:r w:rsidR="00CF38BC">
        <w:rPr>
          <w:lang w:val="en-GB"/>
        </w:rPr>
        <w:t>.</w:t>
      </w:r>
      <w:r w:rsidR="003B0C00">
        <w:rPr>
          <w:lang w:val="en-GB"/>
        </w:rPr>
        <w:t xml:space="preserve"> </w:t>
      </w:r>
    </w:p>
    <w:p w:rsidR="00BD55C2" w:rsidRDefault="00BD55C2" w:rsidP="00BD55C2">
      <w:pPr>
        <w:ind w:left="720"/>
        <w:jc w:val="both"/>
        <w:rPr>
          <w:i/>
          <w:lang w:val="en-GB"/>
        </w:rPr>
      </w:pPr>
    </w:p>
    <w:p w:rsidR="001C0619" w:rsidRDefault="004A5097" w:rsidP="00FA78A7">
      <w:pPr>
        <w:ind w:left="720" w:hanging="720"/>
        <w:jc w:val="both"/>
        <w:rPr>
          <w:b/>
          <w:u w:val="single"/>
          <w:lang w:val="en-GB"/>
        </w:rPr>
      </w:pPr>
      <w:r>
        <w:rPr>
          <w:b/>
          <w:lang w:val="en-GB"/>
        </w:rPr>
        <w:t>3</w:t>
      </w:r>
      <w:r w:rsidR="008B52B6">
        <w:rPr>
          <w:b/>
          <w:lang w:val="en-GB"/>
        </w:rPr>
        <w:t>.</w:t>
      </w:r>
      <w:r w:rsidR="00FA78A7">
        <w:rPr>
          <w:b/>
          <w:lang w:val="en-GB"/>
        </w:rPr>
        <w:tab/>
      </w:r>
      <w:r w:rsidR="002F065A" w:rsidRPr="00323DC9">
        <w:rPr>
          <w:b/>
          <w:u w:val="single"/>
          <w:lang w:val="en-GB"/>
        </w:rPr>
        <w:t xml:space="preserve">REVISED ESTIMATE </w:t>
      </w:r>
      <w:r w:rsidR="00D46818" w:rsidRPr="00323DC9">
        <w:rPr>
          <w:b/>
          <w:u w:val="single"/>
          <w:lang w:val="en-GB"/>
        </w:rPr>
        <w:t>20</w:t>
      </w:r>
      <w:r w:rsidR="00246CBD">
        <w:rPr>
          <w:b/>
          <w:u w:val="single"/>
          <w:lang w:val="en-GB"/>
        </w:rPr>
        <w:t>20</w:t>
      </w:r>
      <w:r w:rsidR="00D46818" w:rsidRPr="00323DC9">
        <w:rPr>
          <w:b/>
          <w:u w:val="single"/>
          <w:lang w:val="en-GB"/>
        </w:rPr>
        <w:t>/</w:t>
      </w:r>
      <w:r w:rsidR="00BD55C2">
        <w:rPr>
          <w:b/>
          <w:u w:val="single"/>
          <w:lang w:val="en-GB"/>
        </w:rPr>
        <w:t>2</w:t>
      </w:r>
      <w:r w:rsidR="00246CBD">
        <w:rPr>
          <w:b/>
          <w:u w:val="single"/>
          <w:lang w:val="en-GB"/>
        </w:rPr>
        <w:t>1</w:t>
      </w:r>
    </w:p>
    <w:p w:rsidR="000B7423" w:rsidRPr="00893C87" w:rsidRDefault="000B7423" w:rsidP="00FA78A7">
      <w:pPr>
        <w:ind w:left="720" w:hanging="720"/>
        <w:jc w:val="both"/>
        <w:rPr>
          <w:b/>
          <w:u w:val="single"/>
          <w:lang w:val="en-GB"/>
        </w:rPr>
      </w:pPr>
    </w:p>
    <w:p w:rsidR="009B4245" w:rsidRDefault="00323DC9" w:rsidP="00323DC9">
      <w:pPr>
        <w:ind w:left="720"/>
        <w:jc w:val="both"/>
        <w:rPr>
          <w:lang w:val="en-GB"/>
        </w:rPr>
      </w:pPr>
      <w:r>
        <w:rPr>
          <w:lang w:val="en-GB"/>
        </w:rPr>
        <w:t>T</w:t>
      </w:r>
      <w:r w:rsidR="00BE6370">
        <w:rPr>
          <w:lang w:val="en-GB"/>
        </w:rPr>
        <w:t xml:space="preserve">otal </w:t>
      </w:r>
      <w:r w:rsidR="00FB1D63">
        <w:rPr>
          <w:lang w:val="en-GB"/>
        </w:rPr>
        <w:t>n</w:t>
      </w:r>
      <w:r w:rsidR="00BE6370">
        <w:rPr>
          <w:lang w:val="en-GB"/>
        </w:rPr>
        <w:t xml:space="preserve">et </w:t>
      </w:r>
      <w:r w:rsidR="00FB1D63">
        <w:rPr>
          <w:lang w:val="en-GB"/>
        </w:rPr>
        <w:t>e</w:t>
      </w:r>
      <w:r w:rsidR="00BE6370">
        <w:rPr>
          <w:lang w:val="en-GB"/>
        </w:rPr>
        <w:t>xpenditure per t</w:t>
      </w:r>
      <w:r>
        <w:rPr>
          <w:lang w:val="en-GB"/>
        </w:rPr>
        <w:t>he Revised Estimate for 20</w:t>
      </w:r>
      <w:r w:rsidR="00246CBD">
        <w:rPr>
          <w:lang w:val="en-GB"/>
        </w:rPr>
        <w:t>20</w:t>
      </w:r>
      <w:r>
        <w:rPr>
          <w:lang w:val="en-GB"/>
        </w:rPr>
        <w:t>/</w:t>
      </w:r>
      <w:r w:rsidR="00FF2D8D">
        <w:rPr>
          <w:lang w:val="en-GB"/>
        </w:rPr>
        <w:t>2</w:t>
      </w:r>
      <w:r w:rsidR="00246CBD">
        <w:rPr>
          <w:lang w:val="en-GB"/>
        </w:rPr>
        <w:t>1</w:t>
      </w:r>
      <w:r w:rsidR="00732E10" w:rsidRPr="001C0619">
        <w:rPr>
          <w:lang w:val="en-GB"/>
        </w:rPr>
        <w:t xml:space="preserve"> is </w:t>
      </w:r>
      <w:r w:rsidR="00BE6370">
        <w:rPr>
          <w:lang w:val="en-GB"/>
        </w:rPr>
        <w:t>£</w:t>
      </w:r>
      <w:r w:rsidR="00E02569">
        <w:rPr>
          <w:lang w:val="en-GB"/>
        </w:rPr>
        <w:t>2</w:t>
      </w:r>
      <w:r w:rsidR="00246CBD">
        <w:rPr>
          <w:lang w:val="en-GB"/>
        </w:rPr>
        <w:t>4</w:t>
      </w:r>
      <w:r w:rsidR="00894D4E">
        <w:rPr>
          <w:lang w:val="en-GB"/>
        </w:rPr>
        <w:t>7</w:t>
      </w:r>
      <w:r w:rsidR="004B795F">
        <w:rPr>
          <w:lang w:val="en-GB"/>
        </w:rPr>
        <w:t>,</w:t>
      </w:r>
      <w:r w:rsidR="00A87324">
        <w:rPr>
          <w:lang w:val="en-GB"/>
        </w:rPr>
        <w:t>6</w:t>
      </w:r>
      <w:r w:rsidR="00246CBD">
        <w:rPr>
          <w:lang w:val="en-GB"/>
        </w:rPr>
        <w:t xml:space="preserve">03 compared with </w:t>
      </w:r>
      <w:r w:rsidR="00BE6370">
        <w:rPr>
          <w:lang w:val="en-GB"/>
        </w:rPr>
        <w:t xml:space="preserve">the </w:t>
      </w:r>
      <w:r w:rsidR="004D19A0">
        <w:rPr>
          <w:lang w:val="en-GB"/>
        </w:rPr>
        <w:t>Original Estimate</w:t>
      </w:r>
      <w:r w:rsidR="00BE6370">
        <w:rPr>
          <w:lang w:val="en-GB"/>
        </w:rPr>
        <w:t xml:space="preserve"> of £</w:t>
      </w:r>
      <w:r w:rsidR="00827523">
        <w:rPr>
          <w:lang w:val="en-GB"/>
        </w:rPr>
        <w:t>2</w:t>
      </w:r>
      <w:r w:rsidR="00246CBD">
        <w:rPr>
          <w:lang w:val="en-GB"/>
        </w:rPr>
        <w:t>66</w:t>
      </w:r>
      <w:r w:rsidR="00827523">
        <w:rPr>
          <w:lang w:val="en-GB"/>
        </w:rPr>
        <w:t>,</w:t>
      </w:r>
      <w:r w:rsidR="00246CBD">
        <w:rPr>
          <w:lang w:val="en-GB"/>
        </w:rPr>
        <w:t xml:space="preserve">442 so </w:t>
      </w:r>
      <w:r w:rsidR="00506871">
        <w:rPr>
          <w:lang w:val="en-GB"/>
        </w:rPr>
        <w:t xml:space="preserve">an </w:t>
      </w:r>
      <w:r w:rsidR="00246CBD">
        <w:rPr>
          <w:lang w:val="en-GB"/>
        </w:rPr>
        <w:t>underspend of £</w:t>
      </w:r>
      <w:r w:rsidR="00894D4E">
        <w:rPr>
          <w:lang w:val="en-GB"/>
        </w:rPr>
        <w:t>18,839</w:t>
      </w:r>
      <w:r w:rsidR="00506871">
        <w:rPr>
          <w:lang w:val="en-GB"/>
        </w:rPr>
        <w:t xml:space="preserve"> is now forecast</w:t>
      </w:r>
      <w:r w:rsidR="004D19A0">
        <w:rPr>
          <w:lang w:val="en-GB"/>
        </w:rPr>
        <w:t>.</w:t>
      </w:r>
      <w:r w:rsidR="00246ADE">
        <w:rPr>
          <w:lang w:val="en-GB"/>
        </w:rPr>
        <w:t xml:space="preserve"> </w:t>
      </w:r>
      <w:r w:rsidR="008B52B6">
        <w:rPr>
          <w:lang w:val="en-GB"/>
        </w:rPr>
        <w:t xml:space="preserve"> </w:t>
      </w:r>
      <w:r w:rsidR="009B4245">
        <w:rPr>
          <w:lang w:val="en-GB"/>
        </w:rPr>
        <w:t xml:space="preserve">This compares with a forecast </w:t>
      </w:r>
      <w:r w:rsidR="00506871">
        <w:rPr>
          <w:lang w:val="en-GB"/>
        </w:rPr>
        <w:t>under</w:t>
      </w:r>
      <w:r w:rsidR="009B4245">
        <w:rPr>
          <w:lang w:val="en-GB"/>
        </w:rPr>
        <w:t>spend of ‘around £</w:t>
      </w:r>
      <w:r w:rsidR="005B0AC7">
        <w:rPr>
          <w:lang w:val="en-GB"/>
        </w:rPr>
        <w:t>11</w:t>
      </w:r>
      <w:r w:rsidR="009B4245">
        <w:rPr>
          <w:lang w:val="en-GB"/>
        </w:rPr>
        <w:t xml:space="preserve">,000’ </w:t>
      </w:r>
      <w:r w:rsidR="00506871">
        <w:rPr>
          <w:lang w:val="en-GB"/>
        </w:rPr>
        <w:t>report</w:t>
      </w:r>
      <w:r w:rsidR="009B4245">
        <w:rPr>
          <w:lang w:val="en-GB"/>
        </w:rPr>
        <w:t xml:space="preserve">ed to the Committee in November. </w:t>
      </w:r>
    </w:p>
    <w:p w:rsidR="001F507E" w:rsidRDefault="001F507E" w:rsidP="00323DC9">
      <w:pPr>
        <w:ind w:left="720"/>
        <w:jc w:val="both"/>
        <w:rPr>
          <w:lang w:val="en-GB"/>
        </w:rPr>
      </w:pPr>
    </w:p>
    <w:p w:rsidR="000B7423" w:rsidRDefault="000B7423">
      <w:pPr>
        <w:rPr>
          <w:lang w:val="en-GB"/>
        </w:rPr>
      </w:pPr>
      <w:r>
        <w:rPr>
          <w:lang w:val="en-GB"/>
        </w:rPr>
        <w:br w:type="page"/>
      </w:r>
    </w:p>
    <w:p w:rsidR="00F500B0" w:rsidRDefault="004D19A0" w:rsidP="00323DC9">
      <w:pPr>
        <w:ind w:left="720"/>
        <w:jc w:val="both"/>
        <w:rPr>
          <w:lang w:val="en-GB"/>
        </w:rPr>
      </w:pPr>
      <w:r>
        <w:rPr>
          <w:lang w:val="en-GB"/>
        </w:rPr>
        <w:lastRenderedPageBreak/>
        <w:t>S</w:t>
      </w:r>
      <w:r w:rsidR="00EB7690">
        <w:rPr>
          <w:lang w:val="en-GB"/>
        </w:rPr>
        <w:t xml:space="preserve">ignificant </w:t>
      </w:r>
      <w:r>
        <w:rPr>
          <w:lang w:val="en-GB"/>
        </w:rPr>
        <w:t>variations</w:t>
      </w:r>
      <w:r w:rsidR="00F500B0">
        <w:rPr>
          <w:lang w:val="en-GB"/>
        </w:rPr>
        <w:t xml:space="preserve"> </w:t>
      </w:r>
      <w:r w:rsidR="00246ADE">
        <w:rPr>
          <w:lang w:val="en-GB"/>
        </w:rPr>
        <w:t>are as follows:</w:t>
      </w:r>
    </w:p>
    <w:p w:rsidR="00B82207" w:rsidRDefault="00B82207" w:rsidP="00F500B0">
      <w:pPr>
        <w:jc w:val="both"/>
        <w:rPr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1276"/>
        <w:gridCol w:w="1323"/>
      </w:tblGrid>
      <w:tr w:rsidR="00B4157E" w:rsidTr="00B66661">
        <w:tc>
          <w:tcPr>
            <w:tcW w:w="5812" w:type="dxa"/>
          </w:tcPr>
          <w:p w:rsidR="00B4157E" w:rsidRDefault="00B4157E" w:rsidP="00F500B0">
            <w:pPr>
              <w:jc w:val="both"/>
              <w:rPr>
                <w:lang w:val="en-GB"/>
              </w:rPr>
            </w:pPr>
          </w:p>
        </w:tc>
        <w:tc>
          <w:tcPr>
            <w:tcW w:w="1276" w:type="dxa"/>
          </w:tcPr>
          <w:p w:rsidR="00B4157E" w:rsidRDefault="00B4157E" w:rsidP="007E37E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  <w:tc>
          <w:tcPr>
            <w:tcW w:w="1323" w:type="dxa"/>
          </w:tcPr>
          <w:p w:rsidR="00B4157E" w:rsidRDefault="00B4157E" w:rsidP="007E37E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B4157E" w:rsidTr="00B66661">
        <w:tc>
          <w:tcPr>
            <w:tcW w:w="5812" w:type="dxa"/>
          </w:tcPr>
          <w:p w:rsidR="00B4157E" w:rsidRDefault="00E02569" w:rsidP="00E02569">
            <w:pPr>
              <w:rPr>
                <w:lang w:val="en-GB"/>
              </w:rPr>
            </w:pPr>
            <w:r>
              <w:rPr>
                <w:b/>
              </w:rPr>
              <w:t>Adverse variations</w:t>
            </w:r>
          </w:p>
        </w:tc>
        <w:tc>
          <w:tcPr>
            <w:tcW w:w="1276" w:type="dxa"/>
          </w:tcPr>
          <w:p w:rsidR="00B4157E" w:rsidRDefault="00B4157E" w:rsidP="00F500B0">
            <w:pPr>
              <w:jc w:val="both"/>
              <w:rPr>
                <w:lang w:val="en-GB"/>
              </w:rPr>
            </w:pPr>
          </w:p>
        </w:tc>
        <w:tc>
          <w:tcPr>
            <w:tcW w:w="1323" w:type="dxa"/>
          </w:tcPr>
          <w:p w:rsidR="00B4157E" w:rsidRDefault="00B4157E" w:rsidP="000C5828">
            <w:pPr>
              <w:jc w:val="right"/>
              <w:rPr>
                <w:lang w:val="en-GB"/>
              </w:rPr>
            </w:pPr>
          </w:p>
        </w:tc>
      </w:tr>
      <w:tr w:rsidR="001F507E" w:rsidTr="003D138D">
        <w:tc>
          <w:tcPr>
            <w:tcW w:w="5812" w:type="dxa"/>
          </w:tcPr>
          <w:p w:rsidR="001F507E" w:rsidRDefault="001F507E" w:rsidP="001F50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Civic Centre offices – </w:t>
            </w:r>
            <w:r w:rsidR="006C3431">
              <w:rPr>
                <w:lang w:val="en-GB"/>
              </w:rPr>
              <w:t xml:space="preserve">reduced </w:t>
            </w:r>
            <w:r>
              <w:rPr>
                <w:lang w:val="en-GB"/>
              </w:rPr>
              <w:t>rental income</w:t>
            </w:r>
          </w:p>
        </w:tc>
        <w:tc>
          <w:tcPr>
            <w:tcW w:w="1276" w:type="dxa"/>
          </w:tcPr>
          <w:p w:rsidR="001F507E" w:rsidRDefault="0000733E" w:rsidP="0000733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F507E">
              <w:rPr>
                <w:lang w:val="en-GB"/>
              </w:rPr>
              <w:t>,000</w:t>
            </w:r>
          </w:p>
        </w:tc>
        <w:tc>
          <w:tcPr>
            <w:tcW w:w="1323" w:type="dxa"/>
          </w:tcPr>
          <w:p w:rsidR="001F507E" w:rsidRDefault="001F507E" w:rsidP="003D138D">
            <w:pPr>
              <w:jc w:val="right"/>
              <w:rPr>
                <w:lang w:val="en-GB"/>
              </w:rPr>
            </w:pPr>
          </w:p>
        </w:tc>
      </w:tr>
      <w:tr w:rsidR="003D138D" w:rsidTr="003D138D">
        <w:tc>
          <w:tcPr>
            <w:tcW w:w="5812" w:type="dxa"/>
          </w:tcPr>
          <w:p w:rsidR="003D138D" w:rsidRPr="003D138D" w:rsidRDefault="001F507E" w:rsidP="0050687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Parks equipment</w:t>
            </w:r>
            <w:r w:rsidR="00506871">
              <w:rPr>
                <w:lang w:val="en-GB"/>
              </w:rPr>
              <w:t xml:space="preserve"> – play areas Mem Park + Areley Kings</w:t>
            </w:r>
          </w:p>
        </w:tc>
        <w:tc>
          <w:tcPr>
            <w:tcW w:w="1276" w:type="dxa"/>
          </w:tcPr>
          <w:p w:rsidR="003D138D" w:rsidRPr="003D138D" w:rsidRDefault="00E02569" w:rsidP="0000733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3D138D" w:rsidRPr="003D138D">
              <w:rPr>
                <w:lang w:val="en-GB"/>
              </w:rPr>
              <w:t>,</w:t>
            </w:r>
            <w:r w:rsidR="0000733E">
              <w:rPr>
                <w:lang w:val="en-GB"/>
              </w:rPr>
              <w:t>6</w:t>
            </w:r>
            <w:r w:rsidR="001F507E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1323" w:type="dxa"/>
          </w:tcPr>
          <w:p w:rsidR="003D138D" w:rsidRDefault="003D138D" w:rsidP="003D138D">
            <w:pPr>
              <w:jc w:val="right"/>
              <w:rPr>
                <w:lang w:val="en-GB"/>
              </w:rPr>
            </w:pPr>
          </w:p>
        </w:tc>
      </w:tr>
      <w:tr w:rsidR="000C5828" w:rsidTr="003D138D">
        <w:tc>
          <w:tcPr>
            <w:tcW w:w="5812" w:type="dxa"/>
          </w:tcPr>
          <w:p w:rsidR="000C5828" w:rsidRPr="00A57CDC" w:rsidRDefault="000C5828" w:rsidP="00F500B0">
            <w:pPr>
              <w:jc w:val="both"/>
              <w:rPr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5828" w:rsidRPr="000E6D75" w:rsidRDefault="000C5828" w:rsidP="000C5828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1323" w:type="dxa"/>
          </w:tcPr>
          <w:p w:rsidR="007E37E7" w:rsidRDefault="0000733E" w:rsidP="0000733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344784">
              <w:rPr>
                <w:lang w:val="en-GB"/>
              </w:rPr>
              <w:t>,</w:t>
            </w:r>
            <w:r>
              <w:rPr>
                <w:lang w:val="en-GB"/>
              </w:rPr>
              <w:t>6</w:t>
            </w:r>
            <w:r w:rsidR="001F507E">
              <w:rPr>
                <w:lang w:val="en-GB"/>
              </w:rPr>
              <w:t>00</w:t>
            </w:r>
          </w:p>
        </w:tc>
      </w:tr>
      <w:tr w:rsidR="00B4157E" w:rsidTr="00B66661">
        <w:tc>
          <w:tcPr>
            <w:tcW w:w="5812" w:type="dxa"/>
          </w:tcPr>
          <w:p w:rsidR="00B4157E" w:rsidRDefault="00E02569" w:rsidP="00E02569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Benign variations</w:t>
            </w:r>
            <w:r w:rsidR="00506871">
              <w:rPr>
                <w:b/>
                <w:lang w:val="en-GB"/>
              </w:rPr>
              <w:t xml:space="preserve"> (arising mainly from COVID)</w:t>
            </w:r>
          </w:p>
        </w:tc>
        <w:tc>
          <w:tcPr>
            <w:tcW w:w="1276" w:type="dxa"/>
          </w:tcPr>
          <w:p w:rsidR="00B4157E" w:rsidRPr="000E6D75" w:rsidRDefault="00B4157E" w:rsidP="000C5828">
            <w:pPr>
              <w:jc w:val="right"/>
              <w:rPr>
                <w:b/>
                <w:u w:val="single"/>
                <w:lang w:val="en-GB"/>
              </w:rPr>
            </w:pPr>
          </w:p>
        </w:tc>
        <w:tc>
          <w:tcPr>
            <w:tcW w:w="1323" w:type="dxa"/>
          </w:tcPr>
          <w:p w:rsidR="00B4157E" w:rsidRDefault="00B4157E" w:rsidP="000C5828">
            <w:pPr>
              <w:jc w:val="right"/>
              <w:rPr>
                <w:lang w:val="en-GB"/>
              </w:rPr>
            </w:pPr>
          </w:p>
        </w:tc>
      </w:tr>
      <w:tr w:rsidR="00B4157E" w:rsidTr="00B66661">
        <w:tc>
          <w:tcPr>
            <w:tcW w:w="5812" w:type="dxa"/>
          </w:tcPr>
          <w:p w:rsidR="00FB31B7" w:rsidRDefault="00FB31B7" w:rsidP="00506871">
            <w:pPr>
              <w:jc w:val="both"/>
              <w:rPr>
                <w:b/>
                <w:lang w:val="en-GB"/>
              </w:rPr>
            </w:pPr>
            <w:r w:rsidRPr="001F507E">
              <w:rPr>
                <w:lang w:val="en-GB"/>
              </w:rPr>
              <w:t>Mayor</w:t>
            </w:r>
            <w:r w:rsidR="00506871">
              <w:rPr>
                <w:lang w:val="en-GB"/>
              </w:rPr>
              <w:t xml:space="preserve">/Deputy Mayor </w:t>
            </w:r>
            <w:r w:rsidRPr="001F507E">
              <w:rPr>
                <w:lang w:val="en-GB"/>
              </w:rPr>
              <w:t>expenses</w:t>
            </w:r>
            <w:r w:rsidR="00506871">
              <w:rPr>
                <w:lang w:val="en-GB"/>
              </w:rPr>
              <w:t xml:space="preserve"> – budget not spent</w:t>
            </w:r>
          </w:p>
        </w:tc>
        <w:tc>
          <w:tcPr>
            <w:tcW w:w="1276" w:type="dxa"/>
          </w:tcPr>
          <w:p w:rsidR="00B4157E" w:rsidRPr="003D138D" w:rsidRDefault="009E69E5" w:rsidP="002D69A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9C22BC">
              <w:rPr>
                <w:lang w:val="en-GB"/>
              </w:rPr>
              <w:t>6</w:t>
            </w:r>
            <w:r>
              <w:rPr>
                <w:lang w:val="en-GB"/>
              </w:rPr>
              <w:t>,</w:t>
            </w:r>
            <w:r w:rsidR="00FB31B7">
              <w:rPr>
                <w:lang w:val="en-GB"/>
              </w:rPr>
              <w:t>000</w:t>
            </w:r>
          </w:p>
        </w:tc>
        <w:tc>
          <w:tcPr>
            <w:tcW w:w="1323" w:type="dxa"/>
          </w:tcPr>
          <w:p w:rsidR="00B4157E" w:rsidRDefault="00B4157E" w:rsidP="000C5828">
            <w:pPr>
              <w:jc w:val="right"/>
              <w:rPr>
                <w:lang w:val="en-GB"/>
              </w:rPr>
            </w:pPr>
          </w:p>
        </w:tc>
      </w:tr>
      <w:tr w:rsidR="002D69AE" w:rsidTr="00B66661">
        <w:tc>
          <w:tcPr>
            <w:tcW w:w="5812" w:type="dxa"/>
          </w:tcPr>
          <w:p w:rsidR="002D69AE" w:rsidRDefault="002D69AE" w:rsidP="00506871">
            <w:pPr>
              <w:jc w:val="both"/>
              <w:rPr>
                <w:lang w:val="en-GB"/>
              </w:rPr>
            </w:pPr>
            <w:r w:rsidRPr="001F507E">
              <w:rPr>
                <w:lang w:val="en-GB"/>
              </w:rPr>
              <w:t>Civic occasions</w:t>
            </w:r>
            <w:r w:rsidR="00506871">
              <w:rPr>
                <w:lang w:val="en-GB"/>
              </w:rPr>
              <w:t xml:space="preserve"> – negligible spending</w:t>
            </w:r>
          </w:p>
        </w:tc>
        <w:tc>
          <w:tcPr>
            <w:tcW w:w="1276" w:type="dxa"/>
          </w:tcPr>
          <w:p w:rsidR="002D69AE" w:rsidRDefault="002D69AE" w:rsidP="001F507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-1,900</w:t>
            </w:r>
          </w:p>
        </w:tc>
        <w:tc>
          <w:tcPr>
            <w:tcW w:w="1323" w:type="dxa"/>
          </w:tcPr>
          <w:p w:rsidR="002D69AE" w:rsidRDefault="002D69AE" w:rsidP="000C5828">
            <w:pPr>
              <w:jc w:val="right"/>
              <w:rPr>
                <w:lang w:val="en-GB"/>
              </w:rPr>
            </w:pPr>
          </w:p>
        </w:tc>
      </w:tr>
      <w:tr w:rsidR="00B4157E" w:rsidTr="00B66661">
        <w:tc>
          <w:tcPr>
            <w:tcW w:w="5812" w:type="dxa"/>
          </w:tcPr>
          <w:p w:rsidR="00B4157E" w:rsidRDefault="009C22BC" w:rsidP="00506871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C</w:t>
            </w:r>
            <w:r w:rsidR="001F507E">
              <w:rPr>
                <w:lang w:val="en-GB"/>
              </w:rPr>
              <w:t>hristmas lights</w:t>
            </w:r>
            <w:r w:rsidR="00506871">
              <w:rPr>
                <w:lang w:val="en-GB"/>
              </w:rPr>
              <w:t xml:space="preserve"> – 3 Kings Parade cancelled</w:t>
            </w:r>
          </w:p>
        </w:tc>
        <w:tc>
          <w:tcPr>
            <w:tcW w:w="1276" w:type="dxa"/>
          </w:tcPr>
          <w:p w:rsidR="00B4157E" w:rsidRPr="000E6D75" w:rsidRDefault="00B4157E" w:rsidP="001F507E">
            <w:pPr>
              <w:jc w:val="right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1F507E">
              <w:rPr>
                <w:lang w:val="en-GB"/>
              </w:rPr>
              <w:t>2</w:t>
            </w:r>
            <w:r>
              <w:rPr>
                <w:lang w:val="en-GB"/>
              </w:rPr>
              <w:t>,</w:t>
            </w:r>
            <w:r w:rsidR="001F507E">
              <w:rPr>
                <w:lang w:val="en-GB"/>
              </w:rPr>
              <w:t>3</w:t>
            </w:r>
            <w:r w:rsidR="009C22BC">
              <w:rPr>
                <w:lang w:val="en-GB"/>
              </w:rPr>
              <w:t>00</w:t>
            </w:r>
          </w:p>
        </w:tc>
        <w:tc>
          <w:tcPr>
            <w:tcW w:w="1323" w:type="dxa"/>
          </w:tcPr>
          <w:p w:rsidR="00B4157E" w:rsidRDefault="00B4157E" w:rsidP="000C5828">
            <w:pPr>
              <w:jc w:val="right"/>
              <w:rPr>
                <w:lang w:val="en-GB"/>
              </w:rPr>
            </w:pPr>
          </w:p>
        </w:tc>
      </w:tr>
      <w:tr w:rsidR="001F507E" w:rsidTr="00DC00D0">
        <w:tc>
          <w:tcPr>
            <w:tcW w:w="5812" w:type="dxa"/>
          </w:tcPr>
          <w:p w:rsidR="001F507E" w:rsidRDefault="001F507E" w:rsidP="001F50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Paddling Pool</w:t>
            </w:r>
            <w:r w:rsidR="00506871">
              <w:rPr>
                <w:lang w:val="en-GB"/>
              </w:rPr>
              <w:t xml:space="preserve"> – pool did not open</w:t>
            </w:r>
          </w:p>
        </w:tc>
        <w:tc>
          <w:tcPr>
            <w:tcW w:w="1276" w:type="dxa"/>
          </w:tcPr>
          <w:p w:rsidR="001F507E" w:rsidRDefault="001F507E" w:rsidP="001F507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-7,000</w:t>
            </w:r>
          </w:p>
        </w:tc>
        <w:tc>
          <w:tcPr>
            <w:tcW w:w="1323" w:type="dxa"/>
          </w:tcPr>
          <w:p w:rsidR="001F507E" w:rsidRDefault="001F507E" w:rsidP="000C5828">
            <w:pPr>
              <w:jc w:val="right"/>
              <w:rPr>
                <w:lang w:val="en-GB"/>
              </w:rPr>
            </w:pPr>
          </w:p>
        </w:tc>
      </w:tr>
      <w:tr w:rsidR="001F507E" w:rsidTr="00DC00D0">
        <w:tc>
          <w:tcPr>
            <w:tcW w:w="5812" w:type="dxa"/>
          </w:tcPr>
          <w:p w:rsidR="001F507E" w:rsidRDefault="001F507E" w:rsidP="001F507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Parks – improved service provision</w:t>
            </w:r>
            <w:r w:rsidR="00506871">
              <w:rPr>
                <w:lang w:val="en-GB"/>
              </w:rPr>
              <w:t xml:space="preserve"> – budget not used</w:t>
            </w:r>
          </w:p>
        </w:tc>
        <w:tc>
          <w:tcPr>
            <w:tcW w:w="1276" w:type="dxa"/>
          </w:tcPr>
          <w:p w:rsidR="001F507E" w:rsidRDefault="001F507E" w:rsidP="001F507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-4,500</w:t>
            </w:r>
          </w:p>
        </w:tc>
        <w:tc>
          <w:tcPr>
            <w:tcW w:w="1323" w:type="dxa"/>
          </w:tcPr>
          <w:p w:rsidR="001F507E" w:rsidRDefault="001F507E" w:rsidP="000C5828">
            <w:pPr>
              <w:jc w:val="right"/>
              <w:rPr>
                <w:lang w:val="en-GB"/>
              </w:rPr>
            </w:pPr>
          </w:p>
        </w:tc>
      </w:tr>
      <w:tr w:rsidR="002D69AE" w:rsidTr="00DC00D0">
        <w:tc>
          <w:tcPr>
            <w:tcW w:w="5812" w:type="dxa"/>
          </w:tcPr>
          <w:p w:rsidR="002D69AE" w:rsidRDefault="002D69AE" w:rsidP="00F23C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Cemetery fee</w:t>
            </w:r>
            <w:r w:rsidR="00F23C88">
              <w:rPr>
                <w:lang w:val="en-GB"/>
              </w:rPr>
              <w:t xml:space="preserve"> income</w:t>
            </w:r>
            <w:r>
              <w:rPr>
                <w:lang w:val="en-GB"/>
              </w:rPr>
              <w:t xml:space="preserve"> </w:t>
            </w:r>
            <w:r w:rsidR="00F23C88">
              <w:rPr>
                <w:lang w:val="en-GB"/>
              </w:rPr>
              <w:t xml:space="preserve">– revised estimate exceeds budget </w:t>
            </w:r>
          </w:p>
        </w:tc>
        <w:tc>
          <w:tcPr>
            <w:tcW w:w="1276" w:type="dxa"/>
          </w:tcPr>
          <w:p w:rsidR="002D69AE" w:rsidRDefault="00F23C88" w:rsidP="001F507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-5,000</w:t>
            </w:r>
          </w:p>
        </w:tc>
        <w:tc>
          <w:tcPr>
            <w:tcW w:w="1323" w:type="dxa"/>
          </w:tcPr>
          <w:p w:rsidR="002D69AE" w:rsidRDefault="002D69AE" w:rsidP="000C5828">
            <w:pPr>
              <w:jc w:val="right"/>
              <w:rPr>
                <w:lang w:val="en-GB"/>
              </w:rPr>
            </w:pPr>
          </w:p>
        </w:tc>
      </w:tr>
      <w:tr w:rsidR="00B4157E" w:rsidTr="00DC00D0">
        <w:tc>
          <w:tcPr>
            <w:tcW w:w="5812" w:type="dxa"/>
          </w:tcPr>
          <w:p w:rsidR="00B4157E" w:rsidRDefault="001F507E" w:rsidP="001F507E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Town twinning</w:t>
            </w:r>
            <w:r w:rsidR="00506871">
              <w:rPr>
                <w:lang w:val="en-GB"/>
              </w:rPr>
              <w:t xml:space="preserve"> – budget not used</w:t>
            </w:r>
          </w:p>
        </w:tc>
        <w:tc>
          <w:tcPr>
            <w:tcW w:w="1276" w:type="dxa"/>
          </w:tcPr>
          <w:p w:rsidR="00B4157E" w:rsidRPr="000E6D75" w:rsidRDefault="00B4157E" w:rsidP="001F507E">
            <w:pPr>
              <w:jc w:val="right"/>
              <w:rPr>
                <w:b/>
                <w:u w:val="single"/>
                <w:lang w:val="en-GB"/>
              </w:rPr>
            </w:pPr>
            <w:r>
              <w:rPr>
                <w:lang w:val="en-GB"/>
              </w:rPr>
              <w:t>-</w:t>
            </w:r>
            <w:r w:rsidR="001F507E">
              <w:rPr>
                <w:lang w:val="en-GB"/>
              </w:rPr>
              <w:t>1</w:t>
            </w:r>
            <w:r>
              <w:rPr>
                <w:lang w:val="en-GB"/>
              </w:rPr>
              <w:t>,</w:t>
            </w:r>
            <w:r w:rsidR="001F507E">
              <w:rPr>
                <w:lang w:val="en-GB"/>
              </w:rPr>
              <w:t>8</w:t>
            </w:r>
            <w:r w:rsidR="009C22BC">
              <w:rPr>
                <w:lang w:val="en-GB"/>
              </w:rPr>
              <w:t>00</w:t>
            </w:r>
          </w:p>
        </w:tc>
        <w:tc>
          <w:tcPr>
            <w:tcW w:w="1323" w:type="dxa"/>
          </w:tcPr>
          <w:p w:rsidR="00B4157E" w:rsidRDefault="00B4157E" w:rsidP="000C5828">
            <w:pPr>
              <w:jc w:val="right"/>
              <w:rPr>
                <w:lang w:val="en-GB"/>
              </w:rPr>
            </w:pPr>
          </w:p>
        </w:tc>
      </w:tr>
      <w:tr w:rsidR="00B4157E" w:rsidTr="00DC00D0">
        <w:tc>
          <w:tcPr>
            <w:tcW w:w="5812" w:type="dxa"/>
          </w:tcPr>
          <w:p w:rsidR="00B4157E" w:rsidRDefault="00B4157E" w:rsidP="00F500B0">
            <w:pPr>
              <w:jc w:val="both"/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157E" w:rsidRDefault="00B4157E" w:rsidP="000C5828">
            <w:pPr>
              <w:jc w:val="right"/>
              <w:rPr>
                <w:lang w:val="en-GB"/>
              </w:rPr>
            </w:pPr>
          </w:p>
        </w:tc>
        <w:tc>
          <w:tcPr>
            <w:tcW w:w="1323" w:type="dxa"/>
          </w:tcPr>
          <w:p w:rsidR="00B4157E" w:rsidRDefault="007E37E7" w:rsidP="00F23C8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1F507E">
              <w:rPr>
                <w:lang w:val="en-GB"/>
              </w:rPr>
              <w:t>2</w:t>
            </w:r>
            <w:r w:rsidR="00F23C88">
              <w:rPr>
                <w:lang w:val="en-GB"/>
              </w:rPr>
              <w:t>8</w:t>
            </w:r>
            <w:r w:rsidR="000C5828" w:rsidRPr="000C5828">
              <w:rPr>
                <w:lang w:val="en-GB"/>
              </w:rPr>
              <w:t>,</w:t>
            </w:r>
            <w:r w:rsidR="002D69AE">
              <w:rPr>
                <w:lang w:val="en-GB"/>
              </w:rPr>
              <w:t>5</w:t>
            </w:r>
            <w:r w:rsidR="001F507E">
              <w:rPr>
                <w:lang w:val="en-GB"/>
              </w:rPr>
              <w:t>0</w:t>
            </w:r>
            <w:r w:rsidR="009B4245">
              <w:rPr>
                <w:lang w:val="en-GB"/>
              </w:rPr>
              <w:t>0</w:t>
            </w:r>
          </w:p>
        </w:tc>
      </w:tr>
      <w:tr w:rsidR="007E37E7" w:rsidTr="00DC00D0">
        <w:tc>
          <w:tcPr>
            <w:tcW w:w="5812" w:type="dxa"/>
          </w:tcPr>
          <w:p w:rsidR="007E37E7" w:rsidRDefault="007E37E7" w:rsidP="00F500B0">
            <w:pPr>
              <w:jc w:val="both"/>
              <w:rPr>
                <w:b/>
                <w:lang w:val="en-GB"/>
              </w:rPr>
            </w:pPr>
            <w:r w:rsidRPr="000C5828">
              <w:rPr>
                <w:lang w:val="en-GB"/>
              </w:rPr>
              <w:t>Other minor variations</w:t>
            </w:r>
          </w:p>
        </w:tc>
        <w:tc>
          <w:tcPr>
            <w:tcW w:w="1276" w:type="dxa"/>
          </w:tcPr>
          <w:p w:rsidR="007E37E7" w:rsidRPr="00A638CA" w:rsidRDefault="007E37E7" w:rsidP="00B4157E">
            <w:pPr>
              <w:ind w:left="780" w:firstLine="720"/>
              <w:jc w:val="both"/>
              <w:rPr>
                <w:b/>
                <w:lang w:val="en-GB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E37E7" w:rsidRPr="00A10998" w:rsidRDefault="0000733E" w:rsidP="0000733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-939</w:t>
            </w:r>
          </w:p>
        </w:tc>
      </w:tr>
      <w:tr w:rsidR="00B4157E" w:rsidTr="00DC00D0">
        <w:tc>
          <w:tcPr>
            <w:tcW w:w="5812" w:type="dxa"/>
          </w:tcPr>
          <w:p w:rsidR="00B4157E" w:rsidRDefault="009B4245" w:rsidP="002D69AE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 xml:space="preserve">Net </w:t>
            </w:r>
            <w:r w:rsidR="002D69AE">
              <w:rPr>
                <w:b/>
                <w:lang w:val="en-GB"/>
              </w:rPr>
              <w:t xml:space="preserve">‘benign’ </w:t>
            </w:r>
            <w:r w:rsidR="00B4157E">
              <w:rPr>
                <w:b/>
                <w:lang w:val="en-GB"/>
              </w:rPr>
              <w:t>variations</w:t>
            </w:r>
          </w:p>
        </w:tc>
        <w:tc>
          <w:tcPr>
            <w:tcW w:w="1276" w:type="dxa"/>
          </w:tcPr>
          <w:p w:rsidR="00B4157E" w:rsidRPr="00A638CA" w:rsidRDefault="00B4157E" w:rsidP="00B4157E">
            <w:pPr>
              <w:ind w:left="780" w:firstLine="720"/>
              <w:jc w:val="both"/>
              <w:rPr>
                <w:b/>
                <w:lang w:val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B4157E" w:rsidRPr="000C5828" w:rsidRDefault="006C3431" w:rsidP="00894D4E">
            <w:pPr>
              <w:jc w:val="right"/>
              <w:rPr>
                <w:lang w:val="en-GB"/>
              </w:rPr>
            </w:pPr>
            <w:r>
              <w:rPr>
                <w:b/>
                <w:lang w:val="en-GB"/>
              </w:rPr>
              <w:t>-</w:t>
            </w:r>
            <w:r w:rsidR="00506871">
              <w:rPr>
                <w:b/>
                <w:lang w:val="en-GB"/>
              </w:rPr>
              <w:t>1</w:t>
            </w:r>
            <w:r w:rsidR="00894D4E">
              <w:rPr>
                <w:b/>
                <w:lang w:val="en-GB"/>
              </w:rPr>
              <w:t>8</w:t>
            </w:r>
            <w:r w:rsidR="00D23053">
              <w:rPr>
                <w:b/>
                <w:lang w:val="en-GB"/>
              </w:rPr>
              <w:t>,</w:t>
            </w:r>
            <w:r w:rsidR="002D69AE">
              <w:rPr>
                <w:b/>
                <w:lang w:val="en-GB"/>
              </w:rPr>
              <w:t>839</w:t>
            </w:r>
          </w:p>
        </w:tc>
      </w:tr>
    </w:tbl>
    <w:p w:rsidR="00A57CDC" w:rsidRPr="00A57CDC" w:rsidRDefault="00A57CDC" w:rsidP="000B7423">
      <w:pPr>
        <w:jc w:val="both"/>
        <w:rPr>
          <w:lang w:val="en-GB"/>
        </w:rPr>
      </w:pPr>
    </w:p>
    <w:p w:rsidR="0081138A" w:rsidRDefault="00ED396B" w:rsidP="000B7423">
      <w:pPr>
        <w:ind w:left="720"/>
        <w:jc w:val="both"/>
        <w:rPr>
          <w:lang w:val="en-GB"/>
        </w:rPr>
      </w:pPr>
      <w:r>
        <w:rPr>
          <w:lang w:val="en-GB"/>
        </w:rPr>
        <w:t xml:space="preserve">Members may recall that we </w:t>
      </w:r>
      <w:r w:rsidR="00CC3F0C">
        <w:rPr>
          <w:lang w:val="en-GB"/>
        </w:rPr>
        <w:t xml:space="preserve">will </w:t>
      </w:r>
      <w:r>
        <w:rPr>
          <w:lang w:val="en-GB"/>
        </w:rPr>
        <w:t xml:space="preserve">pay </w:t>
      </w:r>
      <w:r w:rsidRPr="000E1283">
        <w:rPr>
          <w:b/>
          <w:u w:val="single"/>
          <w:lang w:val="en-GB"/>
        </w:rPr>
        <w:t>service charges to Worcestershire County Council in relation to our occupation of the first floor of the Civic Centre.</w:t>
      </w:r>
      <w:r>
        <w:rPr>
          <w:lang w:val="en-GB"/>
        </w:rPr>
        <w:t xml:space="preserve"> </w:t>
      </w:r>
      <w:r w:rsidR="00AE53BD">
        <w:rPr>
          <w:lang w:val="en-GB"/>
        </w:rPr>
        <w:t xml:space="preserve"> Despite promptings from our solicitor, Maynard Burton, to WCC’s Legal Services we are still waiting for the signing of the lease and for charges for 2017/18 onwards. </w:t>
      </w:r>
      <w:r w:rsidR="008B52B6">
        <w:rPr>
          <w:lang w:val="en-GB"/>
        </w:rPr>
        <w:t xml:space="preserve"> </w:t>
      </w:r>
      <w:r w:rsidR="00AE53BD">
        <w:rPr>
          <w:lang w:val="en-GB"/>
        </w:rPr>
        <w:t xml:space="preserve">I continue to set aside sums to meet these costs but </w:t>
      </w:r>
      <w:r w:rsidR="000566CF">
        <w:rPr>
          <w:lang w:val="en-GB"/>
        </w:rPr>
        <w:t xml:space="preserve">they </w:t>
      </w:r>
      <w:r w:rsidR="002E743B">
        <w:rPr>
          <w:lang w:val="en-GB"/>
        </w:rPr>
        <w:t xml:space="preserve">can only be estimated so there </w:t>
      </w:r>
      <w:r w:rsidR="000566CF">
        <w:rPr>
          <w:lang w:val="en-GB"/>
        </w:rPr>
        <w:t xml:space="preserve">remains </w:t>
      </w:r>
      <w:r w:rsidR="002E743B">
        <w:rPr>
          <w:lang w:val="en-GB"/>
        </w:rPr>
        <w:t>scope for variances between these estimated sums and the eventual actual charges.</w:t>
      </w:r>
    </w:p>
    <w:p w:rsidR="000B7423" w:rsidRPr="00647803" w:rsidRDefault="000B7423" w:rsidP="000B7423">
      <w:pPr>
        <w:ind w:left="720"/>
        <w:jc w:val="both"/>
        <w:rPr>
          <w:lang w:val="en-GB"/>
        </w:rPr>
      </w:pPr>
    </w:p>
    <w:p w:rsidR="005D6592" w:rsidRDefault="00DA1EEB" w:rsidP="00FA78A7">
      <w:pPr>
        <w:ind w:hanging="567"/>
        <w:jc w:val="both"/>
        <w:rPr>
          <w:b/>
          <w:u w:val="single"/>
          <w:lang w:val="en-GB"/>
        </w:rPr>
      </w:pPr>
      <w:r>
        <w:rPr>
          <w:b/>
          <w:lang w:val="en-GB"/>
        </w:rPr>
        <w:tab/>
      </w:r>
      <w:r w:rsidR="00FA78A7">
        <w:rPr>
          <w:b/>
          <w:lang w:val="en-GB"/>
        </w:rPr>
        <w:t>4.</w:t>
      </w:r>
      <w:r w:rsidR="00AB6065">
        <w:rPr>
          <w:b/>
          <w:lang w:val="en-GB"/>
        </w:rPr>
        <w:t xml:space="preserve">  </w:t>
      </w:r>
      <w:r w:rsidR="00FA78A7">
        <w:rPr>
          <w:b/>
          <w:lang w:val="en-GB"/>
        </w:rPr>
        <w:tab/>
      </w:r>
      <w:r w:rsidR="004A5097" w:rsidRPr="00A73769">
        <w:rPr>
          <w:b/>
          <w:u w:val="single"/>
          <w:lang w:val="en-GB"/>
        </w:rPr>
        <w:t xml:space="preserve">DRAFT </w:t>
      </w:r>
      <w:r w:rsidR="00D46818" w:rsidRPr="00A73769">
        <w:rPr>
          <w:b/>
          <w:u w:val="single"/>
          <w:lang w:val="en-GB"/>
        </w:rPr>
        <w:t>BUDGET 20</w:t>
      </w:r>
      <w:r w:rsidR="002964BD">
        <w:rPr>
          <w:b/>
          <w:u w:val="single"/>
          <w:lang w:val="en-GB"/>
        </w:rPr>
        <w:t>2</w:t>
      </w:r>
      <w:r w:rsidR="005B0AC7">
        <w:rPr>
          <w:b/>
          <w:u w:val="single"/>
          <w:lang w:val="en-GB"/>
        </w:rPr>
        <w:t>1/</w:t>
      </w:r>
      <w:r w:rsidR="00C31E7C">
        <w:rPr>
          <w:b/>
          <w:u w:val="single"/>
          <w:lang w:val="en-GB"/>
        </w:rPr>
        <w:t>2</w:t>
      </w:r>
      <w:r w:rsidR="005B0AC7">
        <w:rPr>
          <w:b/>
          <w:u w:val="single"/>
          <w:lang w:val="en-GB"/>
        </w:rPr>
        <w:t>2</w:t>
      </w:r>
      <w:r w:rsidR="008D7A4E" w:rsidRPr="00A73769">
        <w:rPr>
          <w:b/>
          <w:u w:val="single"/>
          <w:lang w:val="en-GB"/>
        </w:rPr>
        <w:t xml:space="preserve"> </w:t>
      </w:r>
      <w:r w:rsidR="00E57501" w:rsidRPr="00A73769">
        <w:rPr>
          <w:b/>
          <w:u w:val="single"/>
          <w:lang w:val="en-GB"/>
        </w:rPr>
        <w:t xml:space="preserve">&amp; </w:t>
      </w:r>
      <w:r w:rsidR="004A5097" w:rsidRPr="00A73769">
        <w:rPr>
          <w:b/>
          <w:u w:val="single"/>
          <w:lang w:val="en-GB"/>
        </w:rPr>
        <w:t xml:space="preserve">BUDGET </w:t>
      </w:r>
      <w:r w:rsidR="008D7A4E" w:rsidRPr="00A73769">
        <w:rPr>
          <w:b/>
          <w:u w:val="single"/>
          <w:lang w:val="en-GB"/>
        </w:rPr>
        <w:t xml:space="preserve">PROJECTION </w:t>
      </w:r>
      <w:r w:rsidR="00D46818" w:rsidRPr="00A73769">
        <w:rPr>
          <w:b/>
          <w:u w:val="single"/>
          <w:lang w:val="en-GB"/>
        </w:rPr>
        <w:t>20</w:t>
      </w:r>
      <w:r w:rsidR="00C31E7C">
        <w:rPr>
          <w:b/>
          <w:u w:val="single"/>
          <w:lang w:val="en-GB"/>
        </w:rPr>
        <w:t>2</w:t>
      </w:r>
      <w:r w:rsidR="005B0AC7">
        <w:rPr>
          <w:b/>
          <w:u w:val="single"/>
          <w:lang w:val="en-GB"/>
        </w:rPr>
        <w:t>2</w:t>
      </w:r>
      <w:r w:rsidR="00D46818" w:rsidRPr="00A73769">
        <w:rPr>
          <w:b/>
          <w:u w:val="single"/>
          <w:lang w:val="en-GB"/>
        </w:rPr>
        <w:t>/</w:t>
      </w:r>
      <w:r w:rsidR="00667603">
        <w:rPr>
          <w:b/>
          <w:u w:val="single"/>
          <w:lang w:val="en-GB"/>
        </w:rPr>
        <w:t>2</w:t>
      </w:r>
      <w:r w:rsidR="005B0AC7">
        <w:rPr>
          <w:b/>
          <w:u w:val="single"/>
          <w:lang w:val="en-GB"/>
        </w:rPr>
        <w:t>3</w:t>
      </w:r>
    </w:p>
    <w:p w:rsidR="000B7423" w:rsidRDefault="000B7423" w:rsidP="00FA78A7">
      <w:pPr>
        <w:ind w:hanging="567"/>
        <w:jc w:val="both"/>
        <w:rPr>
          <w:b/>
          <w:u w:val="single"/>
          <w:lang w:val="en-GB"/>
        </w:rPr>
      </w:pPr>
    </w:p>
    <w:p w:rsidR="00A73769" w:rsidRDefault="0030146C" w:rsidP="00F500B0">
      <w:pPr>
        <w:pStyle w:val="ListParagraph"/>
        <w:jc w:val="both"/>
        <w:rPr>
          <w:lang w:val="en-GB"/>
        </w:rPr>
      </w:pPr>
      <w:r w:rsidRPr="00142CA3">
        <w:rPr>
          <w:lang w:val="en-GB"/>
        </w:rPr>
        <w:t>The</w:t>
      </w:r>
      <w:r w:rsidR="001F5EAB" w:rsidRPr="00142CA3">
        <w:rPr>
          <w:lang w:val="en-GB"/>
        </w:rPr>
        <w:t xml:space="preserve"> </w:t>
      </w:r>
      <w:r w:rsidR="00A73769">
        <w:rPr>
          <w:lang w:val="en-GB"/>
        </w:rPr>
        <w:t>summary page of the draft b</w:t>
      </w:r>
      <w:r w:rsidRPr="00142CA3">
        <w:rPr>
          <w:lang w:val="en-GB"/>
        </w:rPr>
        <w:t xml:space="preserve">udget </w:t>
      </w:r>
      <w:r w:rsidR="00A73769">
        <w:rPr>
          <w:lang w:val="en-GB"/>
        </w:rPr>
        <w:t xml:space="preserve">shows </w:t>
      </w:r>
      <w:r w:rsidR="001F5EAB" w:rsidRPr="00142CA3">
        <w:rPr>
          <w:lang w:val="en-GB"/>
        </w:rPr>
        <w:t xml:space="preserve">Total Net </w:t>
      </w:r>
      <w:r w:rsidR="001F5EAB" w:rsidRPr="00F500B0">
        <w:rPr>
          <w:lang w:val="en-GB"/>
        </w:rPr>
        <w:t>Expenditure for</w:t>
      </w:r>
      <w:r w:rsidR="00D46818" w:rsidRPr="00F500B0">
        <w:rPr>
          <w:lang w:val="en-GB"/>
        </w:rPr>
        <w:t xml:space="preserve"> 20</w:t>
      </w:r>
      <w:r w:rsidR="002964BD">
        <w:rPr>
          <w:lang w:val="en-GB"/>
        </w:rPr>
        <w:t>2</w:t>
      </w:r>
      <w:r w:rsidR="005B0AC7">
        <w:rPr>
          <w:lang w:val="en-GB"/>
        </w:rPr>
        <w:t>1</w:t>
      </w:r>
      <w:r w:rsidR="00D46818" w:rsidRPr="00F500B0">
        <w:rPr>
          <w:lang w:val="en-GB"/>
        </w:rPr>
        <w:t>/</w:t>
      </w:r>
      <w:r w:rsidR="00C31E7C">
        <w:rPr>
          <w:lang w:val="en-GB"/>
        </w:rPr>
        <w:t>2</w:t>
      </w:r>
      <w:r w:rsidR="005B0AC7">
        <w:rPr>
          <w:lang w:val="en-GB"/>
        </w:rPr>
        <w:t>2</w:t>
      </w:r>
      <w:r w:rsidR="001F5EAB" w:rsidRPr="00F500B0">
        <w:rPr>
          <w:lang w:val="en-GB"/>
        </w:rPr>
        <w:t xml:space="preserve"> </w:t>
      </w:r>
      <w:r w:rsidR="00A73769">
        <w:rPr>
          <w:lang w:val="en-GB"/>
        </w:rPr>
        <w:t>of</w:t>
      </w:r>
      <w:r w:rsidR="001F5EAB" w:rsidRPr="00F500B0">
        <w:rPr>
          <w:lang w:val="en-GB"/>
        </w:rPr>
        <w:t xml:space="preserve"> £</w:t>
      </w:r>
      <w:r w:rsidR="00894D4E">
        <w:rPr>
          <w:lang w:val="en-GB"/>
        </w:rPr>
        <w:t>30</w:t>
      </w:r>
      <w:r w:rsidR="0021367C">
        <w:rPr>
          <w:lang w:val="en-GB"/>
        </w:rPr>
        <w:t>8</w:t>
      </w:r>
      <w:r w:rsidR="007572F8" w:rsidRPr="00F500B0">
        <w:rPr>
          <w:lang w:val="en-GB"/>
        </w:rPr>
        <w:t>,</w:t>
      </w:r>
      <w:r w:rsidR="00E636E9">
        <w:rPr>
          <w:lang w:val="en-GB"/>
        </w:rPr>
        <w:t>0</w:t>
      </w:r>
      <w:r w:rsidR="005B0AC7">
        <w:rPr>
          <w:lang w:val="en-GB"/>
        </w:rPr>
        <w:t>72</w:t>
      </w:r>
      <w:r w:rsidR="001F5EAB" w:rsidRPr="00F500B0">
        <w:rPr>
          <w:lang w:val="en-GB"/>
        </w:rPr>
        <w:t xml:space="preserve"> and £</w:t>
      </w:r>
      <w:r w:rsidR="00894D4E">
        <w:rPr>
          <w:lang w:val="en-GB"/>
        </w:rPr>
        <w:t>30</w:t>
      </w:r>
      <w:r w:rsidR="0021367C">
        <w:rPr>
          <w:lang w:val="en-GB"/>
        </w:rPr>
        <w:t>6</w:t>
      </w:r>
      <w:r w:rsidR="007572F8" w:rsidRPr="00F500B0">
        <w:rPr>
          <w:lang w:val="en-GB"/>
        </w:rPr>
        <w:t>,</w:t>
      </w:r>
      <w:r w:rsidR="00E636E9">
        <w:rPr>
          <w:lang w:val="en-GB"/>
        </w:rPr>
        <w:t>2</w:t>
      </w:r>
      <w:r w:rsidR="005B0AC7">
        <w:rPr>
          <w:lang w:val="en-GB"/>
        </w:rPr>
        <w:t>72</w:t>
      </w:r>
      <w:r w:rsidR="00D46818" w:rsidRPr="00F500B0">
        <w:rPr>
          <w:lang w:val="en-GB"/>
        </w:rPr>
        <w:t xml:space="preserve"> for 20</w:t>
      </w:r>
      <w:r w:rsidR="002759AE">
        <w:rPr>
          <w:lang w:val="en-GB"/>
        </w:rPr>
        <w:t>2</w:t>
      </w:r>
      <w:r w:rsidR="005B0AC7">
        <w:rPr>
          <w:lang w:val="en-GB"/>
        </w:rPr>
        <w:t>2</w:t>
      </w:r>
      <w:r w:rsidR="00D46818" w:rsidRPr="00F500B0">
        <w:rPr>
          <w:lang w:val="en-GB"/>
        </w:rPr>
        <w:t>/</w:t>
      </w:r>
      <w:r w:rsidR="00667603">
        <w:rPr>
          <w:lang w:val="en-GB"/>
        </w:rPr>
        <w:t>2</w:t>
      </w:r>
      <w:r w:rsidR="005B0AC7">
        <w:rPr>
          <w:lang w:val="en-GB"/>
        </w:rPr>
        <w:t>3</w:t>
      </w:r>
      <w:r w:rsidR="001F5EAB" w:rsidRPr="00F500B0">
        <w:rPr>
          <w:lang w:val="en-GB"/>
        </w:rPr>
        <w:t xml:space="preserve">. </w:t>
      </w:r>
      <w:r w:rsidR="008B52B6">
        <w:rPr>
          <w:lang w:val="en-GB"/>
        </w:rPr>
        <w:t xml:space="preserve"> </w:t>
      </w:r>
      <w:r w:rsidR="00E520DE">
        <w:rPr>
          <w:lang w:val="en-GB"/>
        </w:rPr>
        <w:t>By far t</w:t>
      </w:r>
      <w:r w:rsidR="001F5EAB" w:rsidRPr="00F500B0">
        <w:rPr>
          <w:lang w:val="en-GB"/>
        </w:rPr>
        <w:t>he</w:t>
      </w:r>
      <w:r w:rsidR="00A73769">
        <w:rPr>
          <w:lang w:val="en-GB"/>
        </w:rPr>
        <w:t xml:space="preserve"> </w:t>
      </w:r>
      <w:r w:rsidR="00E520DE">
        <w:rPr>
          <w:lang w:val="en-GB"/>
        </w:rPr>
        <w:t xml:space="preserve">biggest figure in our budget is Salaries and this figure has been calculated on a person-by-person basis and takes due account of pay awards, increments where relevant and includes provision for National Insurance and employer pension contributions. </w:t>
      </w:r>
      <w:r w:rsidR="008B52B6">
        <w:rPr>
          <w:lang w:val="en-GB"/>
        </w:rPr>
        <w:t xml:space="preserve"> </w:t>
      </w:r>
      <w:r w:rsidR="00E520DE">
        <w:rPr>
          <w:lang w:val="en-GB"/>
        </w:rPr>
        <w:t>Price inflation is currently minimal so allowance is only made where known to be required.</w:t>
      </w:r>
      <w:r w:rsidR="00A73769">
        <w:rPr>
          <w:lang w:val="en-GB"/>
        </w:rPr>
        <w:t xml:space="preserve"> </w:t>
      </w:r>
      <w:r w:rsidR="008B52B6">
        <w:rPr>
          <w:lang w:val="en-GB"/>
        </w:rPr>
        <w:t xml:space="preserve"> </w:t>
      </w:r>
      <w:r w:rsidR="005C72DF">
        <w:rPr>
          <w:lang w:val="en-GB"/>
        </w:rPr>
        <w:t xml:space="preserve">In relation to </w:t>
      </w:r>
      <w:r w:rsidR="00A73769">
        <w:rPr>
          <w:lang w:val="en-GB"/>
        </w:rPr>
        <w:t xml:space="preserve">income </w:t>
      </w:r>
      <w:r w:rsidR="005C72DF">
        <w:rPr>
          <w:lang w:val="en-GB"/>
        </w:rPr>
        <w:t>it is suggested that</w:t>
      </w:r>
      <w:r w:rsidR="00045831">
        <w:rPr>
          <w:lang w:val="en-GB"/>
        </w:rPr>
        <w:t>:</w:t>
      </w:r>
    </w:p>
    <w:p w:rsidR="00A73769" w:rsidRDefault="00A73769" w:rsidP="00F500B0">
      <w:pPr>
        <w:pStyle w:val="ListParagraph"/>
        <w:jc w:val="both"/>
        <w:rPr>
          <w:lang w:val="en-GB"/>
        </w:rPr>
      </w:pPr>
    </w:p>
    <w:p w:rsidR="0084280A" w:rsidRDefault="00AC631F" w:rsidP="00C7683B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84280A">
        <w:rPr>
          <w:lang w:val="en-GB"/>
        </w:rPr>
        <w:t>c</w:t>
      </w:r>
      <w:r w:rsidR="00A73769" w:rsidRPr="0084280A">
        <w:rPr>
          <w:lang w:val="en-GB"/>
        </w:rPr>
        <w:t>emetery fees</w:t>
      </w:r>
      <w:r w:rsidR="00945B62">
        <w:rPr>
          <w:lang w:val="en-GB"/>
        </w:rPr>
        <w:t xml:space="preserve"> </w:t>
      </w:r>
      <w:r w:rsidR="005C72DF">
        <w:rPr>
          <w:lang w:val="en-GB"/>
        </w:rPr>
        <w:t xml:space="preserve">should not be </w:t>
      </w:r>
      <w:r w:rsidR="00E1763E">
        <w:rPr>
          <w:lang w:val="en-GB"/>
        </w:rPr>
        <w:t>increas</w:t>
      </w:r>
      <w:r w:rsidR="005C72DF">
        <w:rPr>
          <w:lang w:val="en-GB"/>
        </w:rPr>
        <w:t>ed this time following the ‘headline’ increase from £720 to £800 on 1</w:t>
      </w:r>
      <w:r w:rsidR="005C72DF" w:rsidRPr="005C72DF">
        <w:rPr>
          <w:vertAlign w:val="superscript"/>
          <w:lang w:val="en-GB"/>
        </w:rPr>
        <w:t>st</w:t>
      </w:r>
      <w:r w:rsidR="005C72DF">
        <w:rPr>
          <w:lang w:val="en-GB"/>
        </w:rPr>
        <w:t xml:space="preserve"> April 2020;  </w:t>
      </w:r>
      <w:r w:rsidR="003D037F">
        <w:rPr>
          <w:lang w:val="en-GB"/>
        </w:rPr>
        <w:t>and</w:t>
      </w:r>
    </w:p>
    <w:p w:rsidR="005C72DF" w:rsidRDefault="00A73769" w:rsidP="005C72DF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5C72DF">
        <w:rPr>
          <w:lang w:val="en-GB"/>
        </w:rPr>
        <w:t>allotment</w:t>
      </w:r>
      <w:r w:rsidR="005C72DF" w:rsidRPr="005C72DF">
        <w:rPr>
          <w:lang w:val="en-GB"/>
        </w:rPr>
        <w:t xml:space="preserve"> rents should increase from </w:t>
      </w:r>
      <w:r w:rsidRPr="005C72DF">
        <w:rPr>
          <w:lang w:val="en-GB"/>
        </w:rPr>
        <w:t>£4</w:t>
      </w:r>
      <w:r w:rsidR="00045831" w:rsidRPr="005C72DF">
        <w:rPr>
          <w:lang w:val="en-GB"/>
        </w:rPr>
        <w:t>4</w:t>
      </w:r>
      <w:r w:rsidR="005C72DF" w:rsidRPr="005C72DF">
        <w:rPr>
          <w:lang w:val="en-GB"/>
        </w:rPr>
        <w:t xml:space="preserve"> to £46 for </w:t>
      </w:r>
      <w:r w:rsidRPr="005C72DF">
        <w:rPr>
          <w:lang w:val="en-GB"/>
        </w:rPr>
        <w:t>large plots</w:t>
      </w:r>
      <w:r w:rsidR="005C72DF" w:rsidRPr="005C72DF">
        <w:rPr>
          <w:lang w:val="en-GB"/>
        </w:rPr>
        <w:t xml:space="preserve"> and from </w:t>
      </w:r>
      <w:r w:rsidRPr="005C72DF">
        <w:rPr>
          <w:lang w:val="en-GB"/>
        </w:rPr>
        <w:t>£2</w:t>
      </w:r>
      <w:r w:rsidR="00045831" w:rsidRPr="005C72DF">
        <w:rPr>
          <w:lang w:val="en-GB"/>
        </w:rPr>
        <w:t>2</w:t>
      </w:r>
      <w:r w:rsidR="005C72DF" w:rsidRPr="005C72DF">
        <w:rPr>
          <w:lang w:val="en-GB"/>
        </w:rPr>
        <w:t xml:space="preserve"> to £23</w:t>
      </w:r>
      <w:r w:rsidR="005C72DF">
        <w:rPr>
          <w:lang w:val="en-GB"/>
        </w:rPr>
        <w:t xml:space="preserve"> </w:t>
      </w:r>
      <w:r w:rsidRPr="005C72DF">
        <w:rPr>
          <w:lang w:val="en-GB"/>
        </w:rPr>
        <w:t>from 1</w:t>
      </w:r>
      <w:r w:rsidRPr="005C72DF">
        <w:rPr>
          <w:vertAlign w:val="superscript"/>
          <w:lang w:val="en-GB"/>
        </w:rPr>
        <w:t>st</w:t>
      </w:r>
      <w:r w:rsidRPr="005C72DF">
        <w:rPr>
          <w:lang w:val="en-GB"/>
        </w:rPr>
        <w:t xml:space="preserve"> April 20</w:t>
      </w:r>
      <w:r w:rsidR="002964BD" w:rsidRPr="005C72DF">
        <w:rPr>
          <w:lang w:val="en-GB"/>
        </w:rPr>
        <w:t>2</w:t>
      </w:r>
      <w:r w:rsidR="005C72DF">
        <w:rPr>
          <w:lang w:val="en-GB"/>
        </w:rPr>
        <w:t>1</w:t>
      </w:r>
    </w:p>
    <w:p w:rsidR="005C72DF" w:rsidRDefault="005C72DF" w:rsidP="00F500B0">
      <w:pPr>
        <w:pStyle w:val="ListParagraph"/>
        <w:jc w:val="both"/>
        <w:rPr>
          <w:lang w:val="en-GB"/>
        </w:rPr>
      </w:pPr>
    </w:p>
    <w:p w:rsidR="006B0BE7" w:rsidRDefault="006B0BE7" w:rsidP="00F500B0">
      <w:pPr>
        <w:pStyle w:val="ListParagraph"/>
        <w:jc w:val="both"/>
        <w:rPr>
          <w:lang w:val="en-GB"/>
        </w:rPr>
      </w:pPr>
      <w:r>
        <w:rPr>
          <w:lang w:val="en-GB"/>
        </w:rPr>
        <w:t>T</w:t>
      </w:r>
      <w:r w:rsidR="00264EF8">
        <w:rPr>
          <w:lang w:val="en-GB"/>
        </w:rPr>
        <w:t xml:space="preserve">he </w:t>
      </w:r>
      <w:r>
        <w:rPr>
          <w:lang w:val="en-GB"/>
        </w:rPr>
        <w:t>issues arising in preparing the draft budget for 20</w:t>
      </w:r>
      <w:r w:rsidR="002964BD">
        <w:rPr>
          <w:lang w:val="en-GB"/>
        </w:rPr>
        <w:t>2</w:t>
      </w:r>
      <w:r w:rsidR="005662B8">
        <w:rPr>
          <w:lang w:val="en-GB"/>
        </w:rPr>
        <w:t>1</w:t>
      </w:r>
      <w:r>
        <w:rPr>
          <w:lang w:val="en-GB"/>
        </w:rPr>
        <w:t>/2</w:t>
      </w:r>
      <w:r w:rsidR="005662B8">
        <w:rPr>
          <w:lang w:val="en-GB"/>
        </w:rPr>
        <w:t>2</w:t>
      </w:r>
      <w:r>
        <w:rPr>
          <w:lang w:val="en-GB"/>
        </w:rPr>
        <w:t xml:space="preserve"> include:</w:t>
      </w:r>
    </w:p>
    <w:p w:rsidR="006B0BE7" w:rsidRDefault="006B0BE7" w:rsidP="00F500B0">
      <w:pPr>
        <w:pStyle w:val="ListParagraph"/>
        <w:jc w:val="both"/>
        <w:rPr>
          <w:lang w:val="en-GB"/>
        </w:rPr>
      </w:pPr>
    </w:p>
    <w:p w:rsidR="00446823" w:rsidRDefault="002964BD" w:rsidP="008B52B6">
      <w:pPr>
        <w:pStyle w:val="ListParagraph"/>
        <w:numPr>
          <w:ilvl w:val="1"/>
          <w:numId w:val="30"/>
        </w:numPr>
        <w:ind w:left="1434" w:hanging="357"/>
        <w:jc w:val="both"/>
        <w:rPr>
          <w:lang w:val="en-GB"/>
        </w:rPr>
      </w:pPr>
      <w:r w:rsidRPr="00E3502C">
        <w:rPr>
          <w:lang w:val="en-GB"/>
        </w:rPr>
        <w:t>the ‘localism’ agenda under which the</w:t>
      </w:r>
      <w:r w:rsidR="005C72DF">
        <w:rPr>
          <w:lang w:val="en-GB"/>
        </w:rPr>
        <w:t xml:space="preserve">re is a proposal that the </w:t>
      </w:r>
      <w:r w:rsidRPr="00E3502C">
        <w:rPr>
          <w:lang w:val="en-GB"/>
        </w:rPr>
        <w:t xml:space="preserve">Town Council </w:t>
      </w:r>
      <w:r w:rsidR="005C72DF">
        <w:rPr>
          <w:lang w:val="en-GB"/>
        </w:rPr>
        <w:t>takes over from Wyre Forest District Council the running of the Riverside toilets</w:t>
      </w:r>
      <w:r w:rsidR="00446823">
        <w:rPr>
          <w:lang w:val="en-GB"/>
        </w:rPr>
        <w:t xml:space="preserve"> at an estimated cost of £</w:t>
      </w:r>
      <w:r w:rsidR="0021367C">
        <w:rPr>
          <w:lang w:val="en-GB"/>
        </w:rPr>
        <w:t>31</w:t>
      </w:r>
      <w:r w:rsidR="00446823">
        <w:rPr>
          <w:lang w:val="en-GB"/>
        </w:rPr>
        <w:t>,000 per year;</w:t>
      </w:r>
    </w:p>
    <w:p w:rsidR="005662B8" w:rsidRDefault="00AC0CF4" w:rsidP="008B52B6">
      <w:pPr>
        <w:pStyle w:val="ListParagraph"/>
        <w:numPr>
          <w:ilvl w:val="1"/>
          <w:numId w:val="30"/>
        </w:numPr>
        <w:ind w:left="1434" w:hanging="357"/>
        <w:rPr>
          <w:lang w:val="en-GB"/>
        </w:rPr>
      </w:pPr>
      <w:r w:rsidRPr="00E3502C">
        <w:rPr>
          <w:lang w:val="en-GB"/>
        </w:rPr>
        <w:t>t</w:t>
      </w:r>
      <w:r w:rsidR="008A1219" w:rsidRPr="00E3502C">
        <w:rPr>
          <w:lang w:val="en-GB"/>
        </w:rPr>
        <w:t xml:space="preserve">he </w:t>
      </w:r>
      <w:r w:rsidR="005662B8">
        <w:rPr>
          <w:lang w:val="en-GB"/>
        </w:rPr>
        <w:t>need to make allowance for the outcome of a job evaluation exercise for one of our posts</w:t>
      </w:r>
    </w:p>
    <w:p w:rsidR="00C369D5" w:rsidRDefault="008A1219" w:rsidP="008B52B6">
      <w:pPr>
        <w:pStyle w:val="ListParagraph"/>
        <w:numPr>
          <w:ilvl w:val="1"/>
          <w:numId w:val="30"/>
        </w:numPr>
        <w:ind w:left="1434" w:hanging="357"/>
        <w:rPr>
          <w:lang w:val="en-GB"/>
        </w:rPr>
      </w:pPr>
      <w:r w:rsidRPr="00E3502C">
        <w:rPr>
          <w:lang w:val="en-GB"/>
        </w:rPr>
        <w:lastRenderedPageBreak/>
        <w:t xml:space="preserve">difficulty in forecasting </w:t>
      </w:r>
      <w:r w:rsidR="00D80BD8" w:rsidRPr="00E3502C">
        <w:rPr>
          <w:lang w:val="en-GB"/>
        </w:rPr>
        <w:t xml:space="preserve">rental </w:t>
      </w:r>
      <w:r w:rsidRPr="00E3502C">
        <w:rPr>
          <w:lang w:val="en-GB"/>
        </w:rPr>
        <w:t>income from ‘incubator units’ (offices) on the first floor of the Civic Centre</w:t>
      </w:r>
      <w:r w:rsidR="00C369D5" w:rsidRPr="00E3502C">
        <w:rPr>
          <w:lang w:val="en-GB"/>
        </w:rPr>
        <w:t>;</w:t>
      </w:r>
    </w:p>
    <w:p w:rsidR="00D80BD8" w:rsidRPr="00AC0CF4" w:rsidRDefault="00C369D5" w:rsidP="008B52B6">
      <w:pPr>
        <w:pStyle w:val="ListParagraph"/>
        <w:numPr>
          <w:ilvl w:val="1"/>
          <w:numId w:val="30"/>
        </w:numPr>
        <w:ind w:left="1434" w:hanging="357"/>
        <w:rPr>
          <w:lang w:val="en-GB"/>
        </w:rPr>
      </w:pPr>
      <w:r>
        <w:rPr>
          <w:lang w:val="en-GB"/>
        </w:rPr>
        <w:t>continuing uncertainty about the service charge for occupying o</w:t>
      </w:r>
      <w:r w:rsidR="000B7423">
        <w:rPr>
          <w:lang w:val="en-GB"/>
        </w:rPr>
        <w:t>ur offices at the Civic Centre;</w:t>
      </w:r>
    </w:p>
    <w:p w:rsidR="006C3431" w:rsidRDefault="005662B8" w:rsidP="008B52B6">
      <w:pPr>
        <w:pStyle w:val="ListParagraph"/>
        <w:numPr>
          <w:ilvl w:val="1"/>
          <w:numId w:val="30"/>
        </w:numPr>
        <w:ind w:left="1434" w:hanging="357"/>
        <w:rPr>
          <w:lang w:val="en-GB"/>
        </w:rPr>
      </w:pPr>
      <w:r>
        <w:rPr>
          <w:lang w:val="en-GB"/>
        </w:rPr>
        <w:t xml:space="preserve">any proposals </w:t>
      </w:r>
      <w:r w:rsidR="008A1219" w:rsidRPr="00AC0CF4">
        <w:rPr>
          <w:lang w:val="en-GB"/>
        </w:rPr>
        <w:t>from Parks Committee to make provision for service improvements</w:t>
      </w:r>
      <w:r w:rsidR="006C3431">
        <w:rPr>
          <w:lang w:val="en-GB"/>
        </w:rPr>
        <w:t>;</w:t>
      </w:r>
    </w:p>
    <w:p w:rsidR="006C3431" w:rsidRDefault="006C3431" w:rsidP="008B52B6">
      <w:pPr>
        <w:pStyle w:val="ListParagraph"/>
        <w:numPr>
          <w:ilvl w:val="1"/>
          <w:numId w:val="30"/>
        </w:numPr>
        <w:ind w:left="1434" w:hanging="357"/>
        <w:rPr>
          <w:lang w:val="en-GB"/>
        </w:rPr>
      </w:pPr>
      <w:r>
        <w:rPr>
          <w:lang w:val="en-GB"/>
        </w:rPr>
        <w:t>the proposal to increase the twinning budget from £1,800 to £3,600 because of the 50</w:t>
      </w:r>
      <w:r w:rsidRPr="006C3431">
        <w:rPr>
          <w:vertAlign w:val="superscript"/>
          <w:lang w:val="en-GB"/>
        </w:rPr>
        <w:t>th</w:t>
      </w:r>
      <w:r>
        <w:rPr>
          <w:lang w:val="en-GB"/>
        </w:rPr>
        <w:t xml:space="preserve"> anniversary of Carnival in 2021 (this proposal is included in the draft budget);</w:t>
      </w:r>
    </w:p>
    <w:p w:rsidR="006C3431" w:rsidRPr="007E2DC0" w:rsidRDefault="006C3431" w:rsidP="008B52B6">
      <w:pPr>
        <w:pStyle w:val="ListParagraph"/>
        <w:numPr>
          <w:ilvl w:val="1"/>
          <w:numId w:val="30"/>
        </w:numPr>
        <w:ind w:left="1434" w:hanging="357"/>
        <w:jc w:val="both"/>
        <w:rPr>
          <w:lang w:val="en-GB"/>
        </w:rPr>
      </w:pPr>
      <w:r w:rsidRPr="007E2DC0">
        <w:rPr>
          <w:lang w:val="en-GB"/>
        </w:rPr>
        <w:t>any items in the business plan that warrant adding specific sums into the budget</w:t>
      </w:r>
      <w:r>
        <w:rPr>
          <w:lang w:val="en-GB"/>
        </w:rPr>
        <w:t>;</w:t>
      </w:r>
    </w:p>
    <w:p w:rsidR="006C3431" w:rsidRPr="007E2DC0" w:rsidRDefault="006C3431" w:rsidP="008B52B6">
      <w:pPr>
        <w:pStyle w:val="ListParagraph"/>
        <w:numPr>
          <w:ilvl w:val="1"/>
          <w:numId w:val="30"/>
        </w:numPr>
        <w:ind w:left="1434" w:hanging="357"/>
        <w:jc w:val="both"/>
        <w:rPr>
          <w:lang w:val="en-GB"/>
        </w:rPr>
      </w:pPr>
      <w:r>
        <w:rPr>
          <w:lang w:val="en-GB"/>
        </w:rPr>
        <w:t>r</w:t>
      </w:r>
      <w:r w:rsidRPr="007E2DC0">
        <w:rPr>
          <w:lang w:val="en-GB"/>
        </w:rPr>
        <w:t>isk management – issues requiring budget provision</w:t>
      </w:r>
      <w:r>
        <w:rPr>
          <w:lang w:val="en-GB"/>
        </w:rPr>
        <w:t>;</w:t>
      </w:r>
    </w:p>
    <w:p w:rsidR="006C3431" w:rsidRPr="007E2DC0" w:rsidRDefault="006C3431" w:rsidP="008B52B6">
      <w:pPr>
        <w:pStyle w:val="ListParagraph"/>
        <w:numPr>
          <w:ilvl w:val="1"/>
          <w:numId w:val="30"/>
        </w:numPr>
        <w:ind w:left="1434" w:hanging="357"/>
        <w:jc w:val="both"/>
        <w:rPr>
          <w:lang w:val="en-GB"/>
        </w:rPr>
      </w:pPr>
      <w:r>
        <w:rPr>
          <w:lang w:val="en-GB"/>
        </w:rPr>
        <w:t>o</w:t>
      </w:r>
      <w:r w:rsidRPr="007E2DC0">
        <w:rPr>
          <w:lang w:val="en-GB"/>
        </w:rPr>
        <w:t>ther – do members have any other spending proposals for which budget provision should be made?</w:t>
      </w:r>
    </w:p>
    <w:p w:rsidR="006C3431" w:rsidRDefault="006C3431" w:rsidP="008B52B6">
      <w:pPr>
        <w:pStyle w:val="ListParagraph"/>
        <w:numPr>
          <w:ilvl w:val="1"/>
          <w:numId w:val="30"/>
        </w:numPr>
        <w:ind w:left="1434" w:hanging="357"/>
        <w:jc w:val="both"/>
        <w:rPr>
          <w:lang w:val="en-GB"/>
        </w:rPr>
      </w:pPr>
      <w:r>
        <w:rPr>
          <w:lang w:val="en-GB"/>
        </w:rPr>
        <w:t xml:space="preserve">Savings - do members have any proposals for savings in the Town Council’s budget? </w:t>
      </w:r>
    </w:p>
    <w:p w:rsidR="008A1219" w:rsidRDefault="008A1219" w:rsidP="008A1219">
      <w:pPr>
        <w:pStyle w:val="ListParagraph"/>
        <w:jc w:val="both"/>
        <w:rPr>
          <w:lang w:val="en-GB"/>
        </w:rPr>
      </w:pPr>
    </w:p>
    <w:p w:rsidR="00A301B4" w:rsidRDefault="00AB2599" w:rsidP="00F500B0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The biggest of these issues is, of course, the Riverside toilets. </w:t>
      </w:r>
      <w:r w:rsidR="000B7423">
        <w:rPr>
          <w:lang w:val="en-GB"/>
        </w:rPr>
        <w:t xml:space="preserve"> </w:t>
      </w:r>
      <w:r>
        <w:rPr>
          <w:lang w:val="en-GB"/>
        </w:rPr>
        <w:t>My understanding is that members do want to proceed with this proposal.</w:t>
      </w:r>
      <w:r w:rsidR="00A301B4">
        <w:rPr>
          <w:lang w:val="en-GB"/>
        </w:rPr>
        <w:t xml:space="preserve"> </w:t>
      </w:r>
      <w:r w:rsidR="008B52B6">
        <w:rPr>
          <w:lang w:val="en-GB"/>
        </w:rPr>
        <w:t xml:space="preserve"> </w:t>
      </w:r>
      <w:r w:rsidR="00A301B4">
        <w:rPr>
          <w:lang w:val="en-GB"/>
        </w:rPr>
        <w:t>I</w:t>
      </w:r>
      <w:r w:rsidR="0009432B">
        <w:rPr>
          <w:lang w:val="en-GB"/>
        </w:rPr>
        <w:t xml:space="preserve">t is important that </w:t>
      </w:r>
      <w:r w:rsidR="00A301B4">
        <w:rPr>
          <w:lang w:val="en-GB"/>
        </w:rPr>
        <w:t>members do understand the full implications, financial as well as operational, before they take that decision. The estimated annual cost comprises the following:</w:t>
      </w:r>
    </w:p>
    <w:p w:rsidR="00A301B4" w:rsidRDefault="00A301B4" w:rsidP="00F500B0">
      <w:pPr>
        <w:pStyle w:val="ListParagraph"/>
        <w:jc w:val="both"/>
        <w:rPr>
          <w:lang w:val="en-GB"/>
        </w:rPr>
      </w:pPr>
    </w:p>
    <w:tbl>
      <w:tblPr>
        <w:tblStyle w:val="Table3Deffects3"/>
        <w:tblW w:w="0" w:type="auto"/>
        <w:tblInd w:w="1440" w:type="dxa"/>
        <w:tblLook w:val="04A0"/>
      </w:tblPr>
      <w:tblGrid>
        <w:gridCol w:w="2082"/>
        <w:gridCol w:w="850"/>
      </w:tblGrid>
      <w:tr w:rsidR="00A301B4" w:rsidTr="0009432B">
        <w:trPr>
          <w:cnfStyle w:val="100000000000"/>
          <w:trHeight w:val="301"/>
        </w:trPr>
        <w:tc>
          <w:tcPr>
            <w:cnfStyle w:val="001000000000"/>
            <w:tcW w:w="2082" w:type="dxa"/>
          </w:tcPr>
          <w:p w:rsidR="00A301B4" w:rsidRDefault="00A301B4" w:rsidP="00F500B0">
            <w:pPr>
              <w:pStyle w:val="ListParagraph"/>
              <w:ind w:left="0"/>
              <w:jc w:val="both"/>
              <w:rPr>
                <w:lang w:val="en-GB"/>
              </w:rPr>
            </w:pPr>
          </w:p>
        </w:tc>
        <w:tc>
          <w:tcPr>
            <w:tcW w:w="850" w:type="dxa"/>
          </w:tcPr>
          <w:p w:rsidR="00A301B4" w:rsidRDefault="00A301B4" w:rsidP="00F500B0">
            <w:pPr>
              <w:pStyle w:val="ListParagraph"/>
              <w:ind w:left="0"/>
              <w:jc w:val="both"/>
              <w:cnfStyle w:val="100000000000"/>
              <w:rPr>
                <w:lang w:val="en-GB"/>
              </w:rPr>
            </w:pPr>
            <w:r>
              <w:rPr>
                <w:lang w:val="en-GB"/>
              </w:rPr>
              <w:t>£000</w:t>
            </w:r>
          </w:p>
        </w:tc>
      </w:tr>
      <w:tr w:rsidR="00A301B4" w:rsidTr="0009432B">
        <w:trPr>
          <w:cnfStyle w:val="000000100000"/>
        </w:trPr>
        <w:tc>
          <w:tcPr>
            <w:cnfStyle w:val="001000000000"/>
            <w:tcW w:w="2082" w:type="dxa"/>
          </w:tcPr>
          <w:p w:rsidR="00A301B4" w:rsidRDefault="00A301B4" w:rsidP="00A301B4">
            <w:pPr>
              <w:pStyle w:val="ListParagraph"/>
              <w:ind w:left="0"/>
              <w:rPr>
                <w:lang w:val="en-GB"/>
              </w:rPr>
            </w:pPr>
            <w:r>
              <w:rPr>
                <w:lang w:val="en-GB"/>
              </w:rPr>
              <w:t>Cleaning</w:t>
            </w:r>
          </w:p>
        </w:tc>
        <w:tc>
          <w:tcPr>
            <w:tcW w:w="850" w:type="dxa"/>
          </w:tcPr>
          <w:p w:rsidR="00A301B4" w:rsidRDefault="00A301B4" w:rsidP="00A301B4">
            <w:pPr>
              <w:pStyle w:val="ListParagraph"/>
              <w:ind w:left="0"/>
              <w:jc w:val="righ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24.0</w:t>
            </w:r>
          </w:p>
        </w:tc>
      </w:tr>
      <w:tr w:rsidR="00A301B4" w:rsidTr="0009432B">
        <w:tc>
          <w:tcPr>
            <w:cnfStyle w:val="001000000000"/>
            <w:tcW w:w="2082" w:type="dxa"/>
          </w:tcPr>
          <w:p w:rsidR="00A301B4" w:rsidRDefault="00A301B4" w:rsidP="00F500B0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Hygiene services</w:t>
            </w:r>
          </w:p>
        </w:tc>
        <w:tc>
          <w:tcPr>
            <w:tcW w:w="850" w:type="dxa"/>
          </w:tcPr>
          <w:p w:rsidR="00A301B4" w:rsidRDefault="00A301B4" w:rsidP="00A301B4">
            <w:pPr>
              <w:pStyle w:val="ListParagraph"/>
              <w:ind w:left="0"/>
              <w:jc w:val="righ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4.0</w:t>
            </w:r>
          </w:p>
        </w:tc>
      </w:tr>
      <w:tr w:rsidR="00A301B4" w:rsidTr="0009432B">
        <w:trPr>
          <w:cnfStyle w:val="000000100000"/>
        </w:trPr>
        <w:tc>
          <w:tcPr>
            <w:cnfStyle w:val="001000000000"/>
            <w:tcW w:w="2082" w:type="dxa"/>
          </w:tcPr>
          <w:p w:rsidR="00A301B4" w:rsidRDefault="00A301B4" w:rsidP="00F500B0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Water</w:t>
            </w:r>
          </w:p>
        </w:tc>
        <w:tc>
          <w:tcPr>
            <w:tcW w:w="850" w:type="dxa"/>
          </w:tcPr>
          <w:p w:rsidR="00A301B4" w:rsidRDefault="00A301B4" w:rsidP="00A301B4">
            <w:pPr>
              <w:pStyle w:val="ListParagraph"/>
              <w:ind w:left="0"/>
              <w:jc w:val="righ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2.0</w:t>
            </w:r>
          </w:p>
        </w:tc>
      </w:tr>
      <w:tr w:rsidR="00A301B4" w:rsidTr="0009432B">
        <w:tc>
          <w:tcPr>
            <w:cnfStyle w:val="001000000000"/>
            <w:tcW w:w="2082" w:type="dxa"/>
          </w:tcPr>
          <w:p w:rsidR="00A301B4" w:rsidRDefault="00A301B4" w:rsidP="00F500B0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Electricity</w:t>
            </w:r>
          </w:p>
        </w:tc>
        <w:tc>
          <w:tcPr>
            <w:tcW w:w="850" w:type="dxa"/>
          </w:tcPr>
          <w:p w:rsidR="00A301B4" w:rsidRDefault="00A301B4" w:rsidP="00A301B4">
            <w:pPr>
              <w:pStyle w:val="ListParagraph"/>
              <w:ind w:left="0"/>
              <w:jc w:val="right"/>
              <w:cnfStyle w:val="00000000000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A301B4" w:rsidTr="0009432B">
        <w:trPr>
          <w:cnfStyle w:val="000000100000"/>
        </w:trPr>
        <w:tc>
          <w:tcPr>
            <w:cnfStyle w:val="001000000000"/>
            <w:tcW w:w="2082" w:type="dxa"/>
          </w:tcPr>
          <w:p w:rsidR="00A301B4" w:rsidRDefault="00A301B4" w:rsidP="00F500B0">
            <w:pPr>
              <w:pStyle w:val="ListParagraph"/>
              <w:ind w:left="0"/>
              <w:jc w:val="both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850" w:type="dxa"/>
          </w:tcPr>
          <w:p w:rsidR="00A301B4" w:rsidRDefault="00A301B4" w:rsidP="00A301B4">
            <w:pPr>
              <w:pStyle w:val="ListParagraph"/>
              <w:ind w:left="0"/>
              <w:jc w:val="right"/>
              <w:cnfStyle w:val="000000100000"/>
              <w:rPr>
                <w:lang w:val="en-GB"/>
              </w:rPr>
            </w:pPr>
            <w:r>
              <w:rPr>
                <w:lang w:val="en-GB"/>
              </w:rPr>
              <w:t>0.5</w:t>
            </w:r>
          </w:p>
        </w:tc>
      </w:tr>
      <w:tr w:rsidR="00A301B4" w:rsidTr="0009432B">
        <w:tc>
          <w:tcPr>
            <w:cnfStyle w:val="001000000000"/>
            <w:tcW w:w="2082" w:type="dxa"/>
          </w:tcPr>
          <w:p w:rsidR="00A301B4" w:rsidRPr="00A301B4" w:rsidRDefault="00A301B4" w:rsidP="00F500B0">
            <w:pPr>
              <w:pStyle w:val="ListParagraph"/>
              <w:ind w:left="0"/>
              <w:jc w:val="both"/>
              <w:rPr>
                <w:b/>
                <w:lang w:val="en-GB"/>
              </w:rPr>
            </w:pPr>
            <w:r w:rsidRPr="00A301B4">
              <w:rPr>
                <w:b/>
                <w:lang w:val="en-GB"/>
              </w:rPr>
              <w:t xml:space="preserve">Total </w:t>
            </w:r>
          </w:p>
        </w:tc>
        <w:tc>
          <w:tcPr>
            <w:tcW w:w="850" w:type="dxa"/>
          </w:tcPr>
          <w:p w:rsidR="00A301B4" w:rsidRPr="00A301B4" w:rsidRDefault="00A301B4" w:rsidP="00A301B4">
            <w:pPr>
              <w:pStyle w:val="ListParagraph"/>
              <w:ind w:left="0"/>
              <w:jc w:val="right"/>
              <w:cnfStyle w:val="000000000000"/>
              <w:rPr>
                <w:b/>
                <w:lang w:val="en-GB"/>
              </w:rPr>
            </w:pPr>
            <w:r w:rsidRPr="00A301B4">
              <w:rPr>
                <w:b/>
                <w:lang w:val="en-GB"/>
              </w:rPr>
              <w:t>31.0</w:t>
            </w:r>
          </w:p>
        </w:tc>
      </w:tr>
    </w:tbl>
    <w:p w:rsidR="00A301B4" w:rsidRDefault="00A301B4" w:rsidP="00F500B0">
      <w:pPr>
        <w:pStyle w:val="ListParagraph"/>
        <w:jc w:val="both"/>
        <w:rPr>
          <w:lang w:val="en-GB"/>
        </w:rPr>
      </w:pPr>
    </w:p>
    <w:p w:rsidR="0009432B" w:rsidRDefault="0009432B" w:rsidP="00F500B0">
      <w:pPr>
        <w:pStyle w:val="ListParagraph"/>
        <w:jc w:val="both"/>
        <w:rPr>
          <w:lang w:val="en-GB"/>
        </w:rPr>
      </w:pPr>
      <w:r>
        <w:rPr>
          <w:lang w:val="en-GB"/>
        </w:rPr>
        <w:t>An increase of £31,000 per year in the Council’s budget requires, all else being equal, an increase in the precept of £4.50.</w:t>
      </w:r>
    </w:p>
    <w:p w:rsidR="0009432B" w:rsidRDefault="0009432B" w:rsidP="00F500B0">
      <w:pPr>
        <w:pStyle w:val="ListParagraph"/>
        <w:jc w:val="both"/>
        <w:rPr>
          <w:lang w:val="en-GB"/>
        </w:rPr>
      </w:pPr>
    </w:p>
    <w:p w:rsidR="00A461F0" w:rsidRDefault="00867601" w:rsidP="00F500B0">
      <w:pPr>
        <w:pStyle w:val="ListParagraph"/>
        <w:jc w:val="both"/>
        <w:rPr>
          <w:lang w:val="en-GB"/>
        </w:rPr>
      </w:pPr>
      <w:r w:rsidRPr="00F500B0">
        <w:rPr>
          <w:lang w:val="en-GB"/>
        </w:rPr>
        <w:t>Please note that t</w:t>
      </w:r>
      <w:r w:rsidR="00142CA3" w:rsidRPr="00F500B0">
        <w:rPr>
          <w:lang w:val="en-GB"/>
        </w:rPr>
        <w:t xml:space="preserve">he Budget </w:t>
      </w:r>
      <w:r w:rsidR="00AC631F">
        <w:rPr>
          <w:lang w:val="en-GB"/>
        </w:rPr>
        <w:t>projection</w:t>
      </w:r>
      <w:r w:rsidR="00142CA3" w:rsidRPr="00F500B0">
        <w:rPr>
          <w:lang w:val="en-GB"/>
        </w:rPr>
        <w:t xml:space="preserve"> for the</w:t>
      </w:r>
      <w:r w:rsidR="008D25D6" w:rsidRPr="00F500B0">
        <w:rPr>
          <w:lang w:val="en-GB"/>
        </w:rPr>
        <w:t xml:space="preserve"> financial year 20</w:t>
      </w:r>
      <w:r w:rsidR="00841266">
        <w:rPr>
          <w:lang w:val="en-GB"/>
        </w:rPr>
        <w:t>2</w:t>
      </w:r>
      <w:r w:rsidR="00446823">
        <w:rPr>
          <w:lang w:val="en-GB"/>
        </w:rPr>
        <w:t>2</w:t>
      </w:r>
      <w:r w:rsidR="008D25D6" w:rsidRPr="00F500B0">
        <w:rPr>
          <w:lang w:val="en-GB"/>
        </w:rPr>
        <w:t>/</w:t>
      </w:r>
      <w:r w:rsidR="007552FA">
        <w:rPr>
          <w:lang w:val="en-GB"/>
        </w:rPr>
        <w:t>2</w:t>
      </w:r>
      <w:r w:rsidR="00446823">
        <w:rPr>
          <w:lang w:val="en-GB"/>
        </w:rPr>
        <w:t>3</w:t>
      </w:r>
      <w:r w:rsidR="00142CA3" w:rsidRPr="00F500B0">
        <w:rPr>
          <w:lang w:val="en-GB"/>
        </w:rPr>
        <w:t xml:space="preserve"> has been provided t</w:t>
      </w:r>
      <w:r w:rsidR="001B08C1" w:rsidRPr="00F500B0">
        <w:rPr>
          <w:lang w:val="en-GB"/>
        </w:rPr>
        <w:t xml:space="preserve">o </w:t>
      </w:r>
      <w:r w:rsidR="00142CA3" w:rsidRPr="00F500B0">
        <w:rPr>
          <w:lang w:val="en-GB"/>
        </w:rPr>
        <w:t xml:space="preserve">assist with </w:t>
      </w:r>
      <w:r w:rsidR="001E7110">
        <w:rPr>
          <w:lang w:val="en-GB"/>
        </w:rPr>
        <w:t>developing b</w:t>
      </w:r>
      <w:r w:rsidR="00142CA3" w:rsidRPr="00F500B0">
        <w:rPr>
          <w:lang w:val="en-GB"/>
        </w:rPr>
        <w:t xml:space="preserve">udget </w:t>
      </w:r>
      <w:r w:rsidR="001E7110">
        <w:rPr>
          <w:lang w:val="en-GB"/>
        </w:rPr>
        <w:t>s</w:t>
      </w:r>
      <w:r w:rsidR="00142CA3" w:rsidRPr="00F500B0">
        <w:rPr>
          <w:lang w:val="en-GB"/>
        </w:rPr>
        <w:t>trategy.</w:t>
      </w:r>
    </w:p>
    <w:p w:rsidR="00D44865" w:rsidRDefault="00D44865" w:rsidP="00F500B0">
      <w:pPr>
        <w:jc w:val="both"/>
        <w:rPr>
          <w:lang w:val="en-GB"/>
        </w:rPr>
      </w:pPr>
    </w:p>
    <w:p w:rsidR="00F74258" w:rsidRDefault="00FA78A7" w:rsidP="00F500B0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8B52B6">
        <w:rPr>
          <w:b/>
          <w:lang w:val="en-GB"/>
        </w:rPr>
        <w:t>.</w:t>
      </w:r>
      <w:r w:rsidR="008B52B6">
        <w:rPr>
          <w:b/>
          <w:lang w:val="en-GB"/>
        </w:rPr>
        <w:tab/>
      </w:r>
      <w:r w:rsidR="001164A0">
        <w:rPr>
          <w:b/>
          <w:u w:val="single"/>
          <w:lang w:val="en-GB"/>
        </w:rPr>
        <w:t>FUNDS</w:t>
      </w:r>
      <w:r w:rsidR="00096C6E">
        <w:rPr>
          <w:b/>
          <w:u w:val="single"/>
          <w:lang w:val="en-GB"/>
        </w:rPr>
        <w:t xml:space="preserve"> AND RESERVES</w:t>
      </w:r>
    </w:p>
    <w:p w:rsidR="000B7423" w:rsidRPr="00893C87" w:rsidRDefault="000B7423" w:rsidP="00F500B0">
      <w:pPr>
        <w:jc w:val="both"/>
        <w:rPr>
          <w:b/>
          <w:u w:val="single"/>
          <w:lang w:val="en-GB"/>
        </w:rPr>
      </w:pPr>
    </w:p>
    <w:p w:rsidR="00B7719B" w:rsidRDefault="00BE39A5" w:rsidP="00F500B0">
      <w:pPr>
        <w:ind w:left="720"/>
        <w:jc w:val="both"/>
        <w:rPr>
          <w:lang w:val="en-GB"/>
        </w:rPr>
      </w:pPr>
      <w:r>
        <w:rPr>
          <w:lang w:val="en-GB"/>
        </w:rPr>
        <w:t>Council policy</w:t>
      </w:r>
      <w:r w:rsidR="00F74258">
        <w:rPr>
          <w:lang w:val="en-GB"/>
        </w:rPr>
        <w:t xml:space="preserve"> </w:t>
      </w:r>
      <w:r w:rsidR="00BF6B94">
        <w:rPr>
          <w:lang w:val="en-GB"/>
        </w:rPr>
        <w:t xml:space="preserve">is </w:t>
      </w:r>
      <w:r w:rsidR="00F74258">
        <w:rPr>
          <w:lang w:val="en-GB"/>
        </w:rPr>
        <w:t>to maintain a</w:t>
      </w:r>
      <w:r w:rsidR="001164A0">
        <w:rPr>
          <w:lang w:val="en-GB"/>
        </w:rPr>
        <w:t xml:space="preserve"> number of </w:t>
      </w:r>
      <w:r w:rsidR="00FE25B7">
        <w:rPr>
          <w:lang w:val="en-GB"/>
        </w:rPr>
        <w:t xml:space="preserve">funds </w:t>
      </w:r>
      <w:r w:rsidR="00E75DAB">
        <w:rPr>
          <w:lang w:val="en-GB"/>
        </w:rPr>
        <w:t>to avoid</w:t>
      </w:r>
      <w:r w:rsidR="00F74258">
        <w:rPr>
          <w:lang w:val="en-GB"/>
        </w:rPr>
        <w:t xml:space="preserve"> ‘</w:t>
      </w:r>
      <w:r w:rsidR="005D671A">
        <w:rPr>
          <w:lang w:val="en-GB"/>
        </w:rPr>
        <w:t>spikes</w:t>
      </w:r>
      <w:r w:rsidR="00F74258">
        <w:rPr>
          <w:lang w:val="en-GB"/>
        </w:rPr>
        <w:t>’</w:t>
      </w:r>
      <w:r w:rsidR="005D671A">
        <w:rPr>
          <w:lang w:val="en-GB"/>
        </w:rPr>
        <w:t xml:space="preserve"> in expenditure</w:t>
      </w:r>
      <w:r w:rsidR="00F74258">
        <w:rPr>
          <w:lang w:val="en-GB"/>
        </w:rPr>
        <w:t xml:space="preserve"> </w:t>
      </w:r>
      <w:r w:rsidR="005D671A">
        <w:rPr>
          <w:lang w:val="en-GB"/>
        </w:rPr>
        <w:t>that distort the pattern of expenditure between</w:t>
      </w:r>
      <w:r w:rsidR="00CE57AF">
        <w:rPr>
          <w:lang w:val="en-GB"/>
        </w:rPr>
        <w:t xml:space="preserve"> financial </w:t>
      </w:r>
      <w:r w:rsidR="005D671A">
        <w:rPr>
          <w:lang w:val="en-GB"/>
        </w:rPr>
        <w:t xml:space="preserve">years. </w:t>
      </w:r>
      <w:r w:rsidR="008B52B6">
        <w:rPr>
          <w:lang w:val="en-GB"/>
        </w:rPr>
        <w:t xml:space="preserve"> </w:t>
      </w:r>
      <w:r w:rsidR="005D671A">
        <w:rPr>
          <w:lang w:val="en-GB"/>
        </w:rPr>
        <w:t xml:space="preserve">The </w:t>
      </w:r>
      <w:r w:rsidR="00AC631F">
        <w:rPr>
          <w:lang w:val="en-GB"/>
        </w:rPr>
        <w:t>p</w:t>
      </w:r>
      <w:r w:rsidR="005D671A">
        <w:rPr>
          <w:lang w:val="en-GB"/>
        </w:rPr>
        <w:t xml:space="preserve">rogramme attached </w:t>
      </w:r>
      <w:r w:rsidR="00096C6E">
        <w:rPr>
          <w:lang w:val="en-GB"/>
        </w:rPr>
        <w:t xml:space="preserve">shows the 3 funds, the annual contributions to them from the budget and the forecasts of spending from those funds. </w:t>
      </w:r>
    </w:p>
    <w:p w:rsidR="009A1C3F" w:rsidRDefault="009A1C3F" w:rsidP="00F500B0">
      <w:pPr>
        <w:jc w:val="both"/>
        <w:rPr>
          <w:lang w:val="en-GB"/>
        </w:rPr>
      </w:pPr>
    </w:p>
    <w:p w:rsidR="007B15AF" w:rsidRDefault="00FA78A7" w:rsidP="00F500B0">
      <w:pPr>
        <w:jc w:val="both"/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="00893C87">
        <w:rPr>
          <w:b/>
          <w:lang w:val="en-GB"/>
        </w:rPr>
        <w:t>.</w:t>
      </w:r>
      <w:r w:rsidR="00893C87">
        <w:rPr>
          <w:b/>
          <w:lang w:val="en-GB"/>
        </w:rPr>
        <w:tab/>
      </w:r>
      <w:r w:rsidR="007B15AF">
        <w:rPr>
          <w:b/>
          <w:u w:val="single"/>
          <w:lang w:val="en-GB"/>
        </w:rPr>
        <w:t>DETERMIN</w:t>
      </w:r>
      <w:r w:rsidR="007572F8">
        <w:rPr>
          <w:b/>
          <w:u w:val="single"/>
          <w:lang w:val="en-GB"/>
        </w:rPr>
        <w:t>ATION OF THE PRECEPT FOR 20</w:t>
      </w:r>
      <w:r w:rsidR="00446823">
        <w:rPr>
          <w:b/>
          <w:u w:val="single"/>
          <w:lang w:val="en-GB"/>
        </w:rPr>
        <w:t>2</w:t>
      </w:r>
      <w:r w:rsidR="00380446">
        <w:rPr>
          <w:b/>
          <w:u w:val="single"/>
          <w:lang w:val="en-GB"/>
        </w:rPr>
        <w:t>1</w:t>
      </w:r>
      <w:r w:rsidR="007572F8">
        <w:rPr>
          <w:b/>
          <w:u w:val="single"/>
          <w:lang w:val="en-GB"/>
        </w:rPr>
        <w:t>/</w:t>
      </w:r>
      <w:r w:rsidR="00E3502C">
        <w:rPr>
          <w:b/>
          <w:u w:val="single"/>
          <w:lang w:val="en-GB"/>
        </w:rPr>
        <w:t>2</w:t>
      </w:r>
      <w:r w:rsidR="00380446">
        <w:rPr>
          <w:b/>
          <w:u w:val="single"/>
          <w:lang w:val="en-GB"/>
        </w:rPr>
        <w:t>2</w:t>
      </w:r>
      <w:bookmarkStart w:id="0" w:name="_GoBack"/>
      <w:bookmarkEnd w:id="0"/>
    </w:p>
    <w:p w:rsidR="00CF30DE" w:rsidRDefault="00CF30DE" w:rsidP="00F500B0">
      <w:pPr>
        <w:jc w:val="both"/>
        <w:rPr>
          <w:b/>
          <w:u w:val="single"/>
          <w:lang w:val="en-GB"/>
        </w:rPr>
      </w:pPr>
    </w:p>
    <w:p w:rsidR="00264EE2" w:rsidRPr="00253759" w:rsidRDefault="00264EE2" w:rsidP="00C7683B">
      <w:pPr>
        <w:pStyle w:val="ListParagraph"/>
        <w:numPr>
          <w:ilvl w:val="0"/>
          <w:numId w:val="2"/>
        </w:numPr>
        <w:jc w:val="both"/>
        <w:rPr>
          <w:b/>
          <w:lang w:val="en-GB"/>
        </w:rPr>
      </w:pPr>
      <w:r w:rsidRPr="00CF30DE">
        <w:rPr>
          <w:b/>
          <w:lang w:val="en-GB"/>
        </w:rPr>
        <w:t>COUNCIL TAX BASE</w:t>
      </w:r>
    </w:p>
    <w:p w:rsidR="0034068D" w:rsidRDefault="00264EE2" w:rsidP="00A24520">
      <w:pPr>
        <w:ind w:left="720"/>
        <w:jc w:val="both"/>
        <w:rPr>
          <w:lang w:val="en-GB"/>
        </w:rPr>
      </w:pPr>
      <w:r w:rsidRPr="006277A6">
        <w:rPr>
          <w:lang w:val="en-GB"/>
        </w:rPr>
        <w:t xml:space="preserve">The Town Council’s Council Tax base has been set by the District Council at </w:t>
      </w:r>
      <w:r w:rsidR="00FE25B7">
        <w:rPr>
          <w:lang w:val="en-GB"/>
        </w:rPr>
        <w:t>6</w:t>
      </w:r>
      <w:r w:rsidR="002B76EB">
        <w:rPr>
          <w:lang w:val="en-GB"/>
        </w:rPr>
        <w:t>,</w:t>
      </w:r>
      <w:r w:rsidR="00446823">
        <w:rPr>
          <w:lang w:val="en-GB"/>
        </w:rPr>
        <w:t xml:space="preserve">886, a slight reduction from the 6,936 in </w:t>
      </w:r>
      <w:r>
        <w:rPr>
          <w:lang w:val="en-GB"/>
        </w:rPr>
        <w:t>201</w:t>
      </w:r>
      <w:r w:rsidR="009E5B53">
        <w:rPr>
          <w:lang w:val="en-GB"/>
        </w:rPr>
        <w:t>9</w:t>
      </w:r>
      <w:r>
        <w:rPr>
          <w:lang w:val="en-GB"/>
        </w:rPr>
        <w:t>/</w:t>
      </w:r>
      <w:r w:rsidR="009E5B53">
        <w:rPr>
          <w:lang w:val="en-GB"/>
        </w:rPr>
        <w:t>20</w:t>
      </w:r>
      <w:r w:rsidRPr="006277A6">
        <w:rPr>
          <w:lang w:val="en-GB"/>
        </w:rPr>
        <w:t xml:space="preserve">. </w:t>
      </w:r>
      <w:r w:rsidR="008B52B6">
        <w:rPr>
          <w:lang w:val="en-GB"/>
        </w:rPr>
        <w:t xml:space="preserve"> </w:t>
      </w:r>
      <w:r w:rsidR="008D03E7">
        <w:rPr>
          <w:lang w:val="en-GB"/>
        </w:rPr>
        <w:t>This means that</w:t>
      </w:r>
      <w:r w:rsidR="0034068D">
        <w:rPr>
          <w:lang w:val="en-GB"/>
        </w:rPr>
        <w:t>:</w:t>
      </w:r>
    </w:p>
    <w:p w:rsidR="00564CC5" w:rsidRPr="00564CC5" w:rsidRDefault="0034068D" w:rsidP="00C7683B">
      <w:pPr>
        <w:pStyle w:val="ListParagraph"/>
        <w:numPr>
          <w:ilvl w:val="0"/>
          <w:numId w:val="9"/>
        </w:numPr>
        <w:jc w:val="both"/>
        <w:rPr>
          <w:lang w:val="en-GB"/>
        </w:rPr>
      </w:pPr>
      <w:r w:rsidRPr="00564CC5">
        <w:rPr>
          <w:lang w:val="en-GB"/>
        </w:rPr>
        <w:t>with no increase in the current charge of £</w:t>
      </w:r>
      <w:r w:rsidR="009E5B53">
        <w:rPr>
          <w:lang w:val="en-GB"/>
        </w:rPr>
        <w:t>3</w:t>
      </w:r>
      <w:r w:rsidR="00446823">
        <w:rPr>
          <w:lang w:val="en-GB"/>
        </w:rPr>
        <w:t>9</w:t>
      </w:r>
      <w:r w:rsidRPr="00564CC5">
        <w:rPr>
          <w:lang w:val="en-GB"/>
        </w:rPr>
        <w:t>.</w:t>
      </w:r>
      <w:r w:rsidR="00446823">
        <w:rPr>
          <w:lang w:val="en-GB"/>
        </w:rPr>
        <w:t>0</w:t>
      </w:r>
      <w:r w:rsidR="00F639B1">
        <w:rPr>
          <w:lang w:val="en-GB"/>
        </w:rPr>
        <w:t>0</w:t>
      </w:r>
      <w:r w:rsidRPr="00564CC5">
        <w:rPr>
          <w:lang w:val="en-GB"/>
        </w:rPr>
        <w:t xml:space="preserve"> the precept income to the Town Council w</w:t>
      </w:r>
      <w:r w:rsidR="00446823">
        <w:rPr>
          <w:lang w:val="en-GB"/>
        </w:rPr>
        <w:t>ould fal</w:t>
      </w:r>
      <w:r w:rsidRPr="00564CC5">
        <w:rPr>
          <w:lang w:val="en-GB"/>
        </w:rPr>
        <w:t xml:space="preserve">l from </w:t>
      </w:r>
      <w:r w:rsidR="00564CC5" w:rsidRPr="00564CC5">
        <w:rPr>
          <w:lang w:val="en-GB"/>
        </w:rPr>
        <w:t>£</w:t>
      </w:r>
      <w:r w:rsidR="0099738E">
        <w:rPr>
          <w:lang w:val="en-GB"/>
        </w:rPr>
        <w:t>2</w:t>
      </w:r>
      <w:r w:rsidR="00446823">
        <w:rPr>
          <w:lang w:val="en-GB"/>
        </w:rPr>
        <w:t>70</w:t>
      </w:r>
      <w:r w:rsidR="00553587">
        <w:rPr>
          <w:lang w:val="en-GB"/>
        </w:rPr>
        <w:t>,</w:t>
      </w:r>
      <w:r w:rsidR="00446823">
        <w:rPr>
          <w:lang w:val="en-GB"/>
        </w:rPr>
        <w:t>504</w:t>
      </w:r>
      <w:r w:rsidR="00564CC5" w:rsidRPr="00564CC5">
        <w:rPr>
          <w:lang w:val="en-GB"/>
        </w:rPr>
        <w:t xml:space="preserve"> to £</w:t>
      </w:r>
      <w:r w:rsidR="009E5B53">
        <w:rPr>
          <w:lang w:val="en-GB"/>
        </w:rPr>
        <w:t>2</w:t>
      </w:r>
      <w:r w:rsidR="00446823">
        <w:rPr>
          <w:lang w:val="en-GB"/>
        </w:rPr>
        <w:t>68</w:t>
      </w:r>
      <w:r w:rsidR="00564CC5" w:rsidRPr="00564CC5">
        <w:rPr>
          <w:lang w:val="en-GB"/>
        </w:rPr>
        <w:t>,</w:t>
      </w:r>
      <w:r w:rsidR="00446823">
        <w:rPr>
          <w:lang w:val="en-GB"/>
        </w:rPr>
        <w:t>554</w:t>
      </w:r>
      <w:r w:rsidR="00564CC5" w:rsidRPr="00564CC5">
        <w:rPr>
          <w:lang w:val="en-GB"/>
        </w:rPr>
        <w:t>; and</w:t>
      </w:r>
    </w:p>
    <w:p w:rsidR="00264EE2" w:rsidRPr="00564CC5" w:rsidRDefault="008D03E7" w:rsidP="00C7683B">
      <w:pPr>
        <w:pStyle w:val="ListParagraph"/>
        <w:numPr>
          <w:ilvl w:val="0"/>
          <w:numId w:val="9"/>
        </w:numPr>
        <w:jc w:val="both"/>
        <w:rPr>
          <w:lang w:val="en-GB"/>
        </w:rPr>
      </w:pPr>
      <w:r w:rsidRPr="00564CC5">
        <w:rPr>
          <w:lang w:val="en-GB"/>
        </w:rPr>
        <w:t>a £1 increase to the Council Tax from the current charge of £</w:t>
      </w:r>
      <w:r w:rsidR="009E5B53">
        <w:rPr>
          <w:lang w:val="en-GB"/>
        </w:rPr>
        <w:t>3</w:t>
      </w:r>
      <w:r w:rsidR="00446823">
        <w:rPr>
          <w:lang w:val="en-GB"/>
        </w:rPr>
        <w:t>9</w:t>
      </w:r>
      <w:r w:rsidR="0099738E">
        <w:rPr>
          <w:lang w:val="en-GB"/>
        </w:rPr>
        <w:t>.</w:t>
      </w:r>
      <w:r w:rsidR="00446823">
        <w:rPr>
          <w:lang w:val="en-GB"/>
        </w:rPr>
        <w:t>0</w:t>
      </w:r>
      <w:r w:rsidR="0099738E">
        <w:rPr>
          <w:lang w:val="en-GB"/>
        </w:rPr>
        <w:t>0</w:t>
      </w:r>
      <w:r w:rsidRPr="00564CC5">
        <w:rPr>
          <w:lang w:val="en-GB"/>
        </w:rPr>
        <w:t xml:space="preserve"> to £</w:t>
      </w:r>
      <w:r w:rsidR="00446823">
        <w:rPr>
          <w:lang w:val="en-GB"/>
        </w:rPr>
        <w:t>40</w:t>
      </w:r>
      <w:r w:rsidRPr="00564CC5">
        <w:rPr>
          <w:lang w:val="en-GB"/>
        </w:rPr>
        <w:t>.</w:t>
      </w:r>
      <w:r w:rsidR="00446823">
        <w:rPr>
          <w:lang w:val="en-GB"/>
        </w:rPr>
        <w:t>0</w:t>
      </w:r>
      <w:r w:rsidR="0099738E">
        <w:rPr>
          <w:lang w:val="en-GB"/>
        </w:rPr>
        <w:t>0</w:t>
      </w:r>
      <w:r w:rsidRPr="00564CC5">
        <w:rPr>
          <w:lang w:val="en-GB"/>
        </w:rPr>
        <w:t xml:space="preserve"> w</w:t>
      </w:r>
      <w:r w:rsidR="00B53DC2" w:rsidRPr="00564CC5">
        <w:rPr>
          <w:lang w:val="en-GB"/>
        </w:rPr>
        <w:t xml:space="preserve">ould </w:t>
      </w:r>
      <w:r w:rsidR="00564CC5" w:rsidRPr="00564CC5">
        <w:rPr>
          <w:lang w:val="en-GB"/>
        </w:rPr>
        <w:t xml:space="preserve">increase the Council’s precept income by a further </w:t>
      </w:r>
      <w:r w:rsidRPr="00564CC5">
        <w:rPr>
          <w:lang w:val="en-GB"/>
        </w:rPr>
        <w:t>£</w:t>
      </w:r>
      <w:r w:rsidR="00FE25B7">
        <w:rPr>
          <w:lang w:val="en-GB"/>
        </w:rPr>
        <w:t>6</w:t>
      </w:r>
      <w:r w:rsidRPr="00564CC5">
        <w:rPr>
          <w:lang w:val="en-GB"/>
        </w:rPr>
        <w:t>,</w:t>
      </w:r>
      <w:r w:rsidR="00446823">
        <w:rPr>
          <w:lang w:val="en-GB"/>
        </w:rPr>
        <w:t>886</w:t>
      </w:r>
      <w:r w:rsidR="00564CC5" w:rsidRPr="00564CC5">
        <w:rPr>
          <w:lang w:val="en-GB"/>
        </w:rPr>
        <w:t>.</w:t>
      </w:r>
    </w:p>
    <w:p w:rsidR="000B7423" w:rsidRDefault="000B7423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264EE2" w:rsidRDefault="00264EE2" w:rsidP="00F500B0">
      <w:pPr>
        <w:pStyle w:val="ListParagraph"/>
        <w:ind w:left="1080"/>
        <w:jc w:val="both"/>
        <w:rPr>
          <w:b/>
          <w:lang w:val="en-GB"/>
        </w:rPr>
      </w:pPr>
    </w:p>
    <w:p w:rsidR="00DA1EEB" w:rsidRPr="00253759" w:rsidRDefault="00CF30DE" w:rsidP="00C7683B">
      <w:pPr>
        <w:pStyle w:val="ListParagraph"/>
        <w:numPr>
          <w:ilvl w:val="0"/>
          <w:numId w:val="2"/>
        </w:numPr>
        <w:jc w:val="both"/>
        <w:rPr>
          <w:b/>
          <w:lang w:val="en-GB"/>
        </w:rPr>
      </w:pPr>
      <w:r w:rsidRPr="00CF30DE">
        <w:rPr>
          <w:b/>
          <w:lang w:val="en-GB"/>
        </w:rPr>
        <w:t>WORKING BALANCE</w:t>
      </w:r>
    </w:p>
    <w:p w:rsidR="00C75666" w:rsidRDefault="00DA1EEB" w:rsidP="00A24520">
      <w:pPr>
        <w:ind w:left="720"/>
        <w:jc w:val="both"/>
        <w:rPr>
          <w:lang w:val="en-GB"/>
        </w:rPr>
      </w:pPr>
      <w:r w:rsidRPr="006277A6">
        <w:rPr>
          <w:lang w:val="en-GB"/>
        </w:rPr>
        <w:t xml:space="preserve">Council policy </w:t>
      </w:r>
      <w:r w:rsidR="004418EC">
        <w:rPr>
          <w:lang w:val="en-GB"/>
        </w:rPr>
        <w:t xml:space="preserve">has been for some years </w:t>
      </w:r>
      <w:r w:rsidRPr="006277A6">
        <w:rPr>
          <w:lang w:val="en-GB"/>
        </w:rPr>
        <w:t>to m</w:t>
      </w:r>
      <w:r w:rsidR="007572F8">
        <w:rPr>
          <w:lang w:val="en-GB"/>
        </w:rPr>
        <w:t>aintain a minimum balance of £50</w:t>
      </w:r>
      <w:r w:rsidRPr="006277A6">
        <w:rPr>
          <w:lang w:val="en-GB"/>
        </w:rPr>
        <w:t>,000</w:t>
      </w:r>
      <w:r w:rsidR="00C75666">
        <w:rPr>
          <w:lang w:val="en-GB"/>
        </w:rPr>
        <w:t xml:space="preserve">. </w:t>
      </w:r>
      <w:r w:rsidR="008B52B6">
        <w:rPr>
          <w:lang w:val="en-GB"/>
        </w:rPr>
        <w:t xml:space="preserve"> </w:t>
      </w:r>
      <w:r w:rsidR="00C75666">
        <w:rPr>
          <w:lang w:val="en-GB"/>
        </w:rPr>
        <w:t xml:space="preserve">However, </w:t>
      </w:r>
      <w:r w:rsidR="00446823">
        <w:rPr>
          <w:lang w:val="en-GB"/>
        </w:rPr>
        <w:t>Finance Committee supported 12 months ago the suggestion that, because of increased volatility in some of the budget headings (especially income)</w:t>
      </w:r>
      <w:r w:rsidR="00C75666">
        <w:rPr>
          <w:lang w:val="en-GB"/>
        </w:rPr>
        <w:t>,</w:t>
      </w:r>
      <w:r w:rsidR="00446823">
        <w:rPr>
          <w:lang w:val="en-GB"/>
        </w:rPr>
        <w:t xml:space="preserve"> the Council should</w:t>
      </w:r>
      <w:r w:rsidR="0000733E">
        <w:rPr>
          <w:lang w:val="en-GB"/>
        </w:rPr>
        <w:t>, over a period of time,</w:t>
      </w:r>
      <w:r w:rsidR="00446823">
        <w:rPr>
          <w:lang w:val="en-GB"/>
        </w:rPr>
        <w:t xml:space="preserve"> aim to increase this, if possible, to around £70,000</w:t>
      </w:r>
      <w:r w:rsidRPr="006277A6">
        <w:rPr>
          <w:lang w:val="en-GB"/>
        </w:rPr>
        <w:t xml:space="preserve">. </w:t>
      </w:r>
      <w:r w:rsidR="008B52B6">
        <w:rPr>
          <w:lang w:val="en-GB"/>
        </w:rPr>
        <w:t xml:space="preserve"> </w:t>
      </w:r>
      <w:r w:rsidR="00C75666">
        <w:rPr>
          <w:lang w:val="en-GB"/>
        </w:rPr>
        <w:t>At 31</w:t>
      </w:r>
      <w:r w:rsidR="00C75666" w:rsidRPr="00C75666">
        <w:rPr>
          <w:vertAlign w:val="superscript"/>
          <w:lang w:val="en-GB"/>
        </w:rPr>
        <w:t>st</w:t>
      </w:r>
      <w:r w:rsidR="00C75666">
        <w:rPr>
          <w:lang w:val="en-GB"/>
        </w:rPr>
        <w:t xml:space="preserve"> March 2020 the balances stood at £54,080 and</w:t>
      </w:r>
      <w:r w:rsidR="007A58A3">
        <w:rPr>
          <w:lang w:val="en-GB"/>
        </w:rPr>
        <w:t xml:space="preserve"> are now </w:t>
      </w:r>
      <w:r w:rsidR="00C75666">
        <w:rPr>
          <w:lang w:val="en-GB"/>
        </w:rPr>
        <w:t>forecast to be around £7</w:t>
      </w:r>
      <w:r w:rsidR="007A58A3">
        <w:rPr>
          <w:lang w:val="en-GB"/>
        </w:rPr>
        <w:t>9</w:t>
      </w:r>
      <w:r w:rsidR="00C75666">
        <w:rPr>
          <w:lang w:val="en-GB"/>
        </w:rPr>
        <w:t>,000 by 31</w:t>
      </w:r>
      <w:r w:rsidR="00C75666" w:rsidRPr="00C75666">
        <w:rPr>
          <w:vertAlign w:val="superscript"/>
          <w:lang w:val="en-GB"/>
        </w:rPr>
        <w:t>st</w:t>
      </w:r>
      <w:r w:rsidR="00C75666">
        <w:rPr>
          <w:lang w:val="en-GB"/>
        </w:rPr>
        <w:t xml:space="preserve"> March 2021.</w:t>
      </w:r>
    </w:p>
    <w:p w:rsidR="005662B8" w:rsidRDefault="005662B8" w:rsidP="00A24520">
      <w:pPr>
        <w:ind w:left="720"/>
        <w:jc w:val="both"/>
        <w:rPr>
          <w:lang w:val="en-GB"/>
        </w:rPr>
      </w:pPr>
    </w:p>
    <w:p w:rsidR="00112B92" w:rsidRDefault="00C75666" w:rsidP="00A24520">
      <w:pPr>
        <w:ind w:left="720"/>
        <w:jc w:val="both"/>
        <w:rPr>
          <w:lang w:val="en-GB"/>
        </w:rPr>
      </w:pPr>
      <w:r>
        <w:rPr>
          <w:lang w:val="en-GB"/>
        </w:rPr>
        <w:t>T</w:t>
      </w:r>
      <w:r w:rsidR="00BB4AA9">
        <w:rPr>
          <w:lang w:val="en-GB"/>
        </w:rPr>
        <w:t xml:space="preserve">he Council does also hold </w:t>
      </w:r>
      <w:r w:rsidR="00E814AB">
        <w:rPr>
          <w:lang w:val="en-GB"/>
        </w:rPr>
        <w:t>th</w:t>
      </w:r>
      <w:r w:rsidR="00B955BF">
        <w:rPr>
          <w:lang w:val="en-GB"/>
        </w:rPr>
        <w:t>ree</w:t>
      </w:r>
      <w:r>
        <w:rPr>
          <w:lang w:val="en-GB"/>
        </w:rPr>
        <w:t xml:space="preserve"> </w:t>
      </w:r>
      <w:r w:rsidR="00BB4AA9">
        <w:rPr>
          <w:lang w:val="en-GB"/>
        </w:rPr>
        <w:t xml:space="preserve">earmarked reserves and the balances on these at </w:t>
      </w:r>
      <w:r w:rsidR="00112B92">
        <w:rPr>
          <w:lang w:val="en-GB"/>
        </w:rPr>
        <w:t>31</w:t>
      </w:r>
      <w:r w:rsidR="00112B92" w:rsidRPr="00112B92">
        <w:rPr>
          <w:vertAlign w:val="superscript"/>
          <w:lang w:val="en-GB"/>
        </w:rPr>
        <w:t>st</w:t>
      </w:r>
      <w:r w:rsidR="00112B92">
        <w:rPr>
          <w:lang w:val="en-GB"/>
        </w:rPr>
        <w:t xml:space="preserve"> March 202</w:t>
      </w:r>
      <w:r>
        <w:rPr>
          <w:lang w:val="en-GB"/>
        </w:rPr>
        <w:t>1</w:t>
      </w:r>
      <w:r w:rsidR="00112B92">
        <w:rPr>
          <w:lang w:val="en-GB"/>
        </w:rPr>
        <w:t xml:space="preserve"> </w:t>
      </w:r>
      <w:r w:rsidR="00BB4AA9">
        <w:rPr>
          <w:lang w:val="en-GB"/>
        </w:rPr>
        <w:t xml:space="preserve">are </w:t>
      </w:r>
      <w:r w:rsidR="00112B92">
        <w:rPr>
          <w:lang w:val="en-GB"/>
        </w:rPr>
        <w:t xml:space="preserve">forecast </w:t>
      </w:r>
      <w:r w:rsidR="00BB4AA9">
        <w:rPr>
          <w:lang w:val="en-GB"/>
        </w:rPr>
        <w:t xml:space="preserve">as follows: </w:t>
      </w:r>
    </w:p>
    <w:tbl>
      <w:tblPr>
        <w:tblStyle w:val="TableGrid"/>
        <w:tblW w:w="0" w:type="auto"/>
        <w:tblInd w:w="2160" w:type="dxa"/>
        <w:tblLook w:val="04A0"/>
      </w:tblPr>
      <w:tblGrid>
        <w:gridCol w:w="4775"/>
        <w:gridCol w:w="1276"/>
      </w:tblGrid>
      <w:tr w:rsidR="00112B92" w:rsidTr="0039582D">
        <w:tc>
          <w:tcPr>
            <w:tcW w:w="4775" w:type="dxa"/>
          </w:tcPr>
          <w:p w:rsidR="00112B92" w:rsidRDefault="00112B92" w:rsidP="00A24520">
            <w:pPr>
              <w:jc w:val="both"/>
              <w:rPr>
                <w:lang w:val="en-GB"/>
              </w:rPr>
            </w:pPr>
          </w:p>
        </w:tc>
        <w:tc>
          <w:tcPr>
            <w:tcW w:w="1276" w:type="dxa"/>
          </w:tcPr>
          <w:p w:rsidR="00112B92" w:rsidRDefault="00112B92" w:rsidP="004656C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</w:tr>
      <w:tr w:rsidR="00112B92" w:rsidTr="0039582D">
        <w:tc>
          <w:tcPr>
            <w:tcW w:w="4775" w:type="dxa"/>
          </w:tcPr>
          <w:p w:rsidR="00112B92" w:rsidRDefault="00112B92" w:rsidP="00112B9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Vehicles, mowers, equipment,</w:t>
            </w:r>
            <w:r w:rsidR="0039582D">
              <w:rPr>
                <w:lang w:val="en-GB"/>
              </w:rPr>
              <w:t xml:space="preserve"> </w:t>
            </w:r>
            <w:r>
              <w:rPr>
                <w:lang w:val="en-GB"/>
              </w:rPr>
              <w:t>computing etc.</w:t>
            </w:r>
          </w:p>
        </w:tc>
        <w:tc>
          <w:tcPr>
            <w:tcW w:w="1276" w:type="dxa"/>
          </w:tcPr>
          <w:p w:rsidR="00112B92" w:rsidRDefault="00E56E86" w:rsidP="00E56E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112B92">
              <w:rPr>
                <w:lang w:val="en-GB"/>
              </w:rPr>
              <w:t>,</w:t>
            </w:r>
            <w:r>
              <w:rPr>
                <w:lang w:val="en-GB"/>
              </w:rPr>
              <w:t>369</w:t>
            </w:r>
          </w:p>
        </w:tc>
      </w:tr>
      <w:tr w:rsidR="00112B92" w:rsidTr="0039582D">
        <w:tc>
          <w:tcPr>
            <w:tcW w:w="4775" w:type="dxa"/>
          </w:tcPr>
          <w:p w:rsidR="00112B92" w:rsidRDefault="00112B92" w:rsidP="00A245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Elections</w:t>
            </w:r>
          </w:p>
        </w:tc>
        <w:tc>
          <w:tcPr>
            <w:tcW w:w="1276" w:type="dxa"/>
          </w:tcPr>
          <w:p w:rsidR="00112B92" w:rsidRDefault="00E56E86" w:rsidP="00E56E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6,000</w:t>
            </w:r>
          </w:p>
        </w:tc>
      </w:tr>
      <w:tr w:rsidR="00112B92" w:rsidTr="0039582D">
        <w:tc>
          <w:tcPr>
            <w:tcW w:w="4775" w:type="dxa"/>
          </w:tcPr>
          <w:p w:rsidR="00112B92" w:rsidRDefault="00112B92" w:rsidP="00A2452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Civic Hall maintenance</w:t>
            </w:r>
          </w:p>
        </w:tc>
        <w:tc>
          <w:tcPr>
            <w:tcW w:w="1276" w:type="dxa"/>
          </w:tcPr>
          <w:p w:rsidR="00112B92" w:rsidRDefault="00E56E86" w:rsidP="00E56E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  <w:r w:rsidR="00112B92">
              <w:rPr>
                <w:lang w:val="en-GB"/>
              </w:rPr>
              <w:t>,</w:t>
            </w:r>
            <w:r>
              <w:rPr>
                <w:lang w:val="en-GB"/>
              </w:rPr>
              <w:t>790</w:t>
            </w:r>
          </w:p>
        </w:tc>
      </w:tr>
    </w:tbl>
    <w:p w:rsidR="00112B92" w:rsidRDefault="00112B92" w:rsidP="00A24520">
      <w:pPr>
        <w:ind w:left="720"/>
        <w:jc w:val="both"/>
        <w:rPr>
          <w:lang w:val="en-GB"/>
        </w:rPr>
      </w:pPr>
    </w:p>
    <w:p w:rsidR="001D1991" w:rsidRPr="00A24520" w:rsidRDefault="001D1991" w:rsidP="00A24520">
      <w:pPr>
        <w:ind w:left="720"/>
        <w:jc w:val="both"/>
        <w:rPr>
          <w:lang w:val="en-GB"/>
        </w:rPr>
      </w:pPr>
    </w:p>
    <w:p w:rsidR="00360020" w:rsidRPr="00360020" w:rsidRDefault="00360020" w:rsidP="00360020">
      <w:pPr>
        <w:pStyle w:val="ListParagraph"/>
        <w:numPr>
          <w:ilvl w:val="0"/>
          <w:numId w:val="2"/>
        </w:numPr>
        <w:jc w:val="both"/>
        <w:rPr>
          <w:b/>
          <w:lang w:val="en-GB"/>
        </w:rPr>
      </w:pPr>
      <w:r w:rsidRPr="00360020">
        <w:rPr>
          <w:b/>
          <w:lang w:val="en-GB"/>
        </w:rPr>
        <w:t>PRECEPT FOR 20</w:t>
      </w:r>
      <w:r w:rsidR="00C75666">
        <w:rPr>
          <w:b/>
          <w:lang w:val="en-GB"/>
        </w:rPr>
        <w:t>21</w:t>
      </w:r>
      <w:r w:rsidRPr="00360020">
        <w:rPr>
          <w:b/>
          <w:lang w:val="en-GB"/>
        </w:rPr>
        <w:t>/</w:t>
      </w:r>
      <w:r w:rsidR="001D1991">
        <w:rPr>
          <w:b/>
          <w:lang w:val="en-GB"/>
        </w:rPr>
        <w:t>2</w:t>
      </w:r>
      <w:r w:rsidR="00C75666">
        <w:rPr>
          <w:b/>
          <w:lang w:val="en-GB"/>
        </w:rPr>
        <w:t>2</w:t>
      </w:r>
    </w:p>
    <w:p w:rsidR="006C3431" w:rsidRDefault="009645ED" w:rsidP="00360020">
      <w:pPr>
        <w:ind w:left="720"/>
        <w:jc w:val="both"/>
        <w:rPr>
          <w:lang w:val="en-GB"/>
        </w:rPr>
      </w:pPr>
      <w:r>
        <w:rPr>
          <w:lang w:val="en-GB"/>
        </w:rPr>
        <w:t>Members will</w:t>
      </w:r>
      <w:r w:rsidR="00064100">
        <w:rPr>
          <w:lang w:val="en-GB"/>
        </w:rPr>
        <w:t>, as always,</w:t>
      </w:r>
      <w:r>
        <w:rPr>
          <w:lang w:val="en-GB"/>
        </w:rPr>
        <w:t xml:space="preserve"> </w:t>
      </w:r>
      <w:r w:rsidR="00BA575D">
        <w:rPr>
          <w:lang w:val="en-GB"/>
        </w:rPr>
        <w:t>have</w:t>
      </w:r>
      <w:r>
        <w:rPr>
          <w:lang w:val="en-GB"/>
        </w:rPr>
        <w:t xml:space="preserve"> to strike a balance between protecting the Council’s services, both now and for the foreseeable future, and minimising the Council Tax. </w:t>
      </w:r>
      <w:r w:rsidR="008B52B6">
        <w:rPr>
          <w:lang w:val="en-GB"/>
        </w:rPr>
        <w:t xml:space="preserve"> </w:t>
      </w:r>
      <w:r>
        <w:rPr>
          <w:lang w:val="en-GB"/>
        </w:rPr>
        <w:t>It is recognised that d</w:t>
      </w:r>
      <w:r w:rsidR="00EB2A56" w:rsidRPr="00360020">
        <w:rPr>
          <w:lang w:val="en-GB"/>
        </w:rPr>
        <w:t xml:space="preserve">ifferent members may </w:t>
      </w:r>
      <w:r>
        <w:rPr>
          <w:lang w:val="en-GB"/>
        </w:rPr>
        <w:t>strike this balance differently</w:t>
      </w:r>
      <w:r w:rsidR="00841266">
        <w:rPr>
          <w:lang w:val="en-GB"/>
        </w:rPr>
        <w:t xml:space="preserve"> but </w:t>
      </w:r>
      <w:r w:rsidR="00406305" w:rsidRPr="00360020">
        <w:rPr>
          <w:lang w:val="en-GB"/>
        </w:rPr>
        <w:t>t</w:t>
      </w:r>
      <w:r w:rsidR="00EB2A56" w:rsidRPr="00360020">
        <w:rPr>
          <w:lang w:val="en-GB"/>
        </w:rPr>
        <w:t>he Council</w:t>
      </w:r>
      <w:r w:rsidR="00406305" w:rsidRPr="00360020">
        <w:rPr>
          <w:lang w:val="en-GB"/>
        </w:rPr>
        <w:t xml:space="preserve"> </w:t>
      </w:r>
      <w:r w:rsidR="001D1991">
        <w:rPr>
          <w:lang w:val="en-GB"/>
        </w:rPr>
        <w:t xml:space="preserve">has </w:t>
      </w:r>
      <w:r w:rsidR="00406305" w:rsidRPr="00360020">
        <w:rPr>
          <w:lang w:val="en-GB"/>
        </w:rPr>
        <w:t>to come to a decision</w:t>
      </w:r>
      <w:r w:rsidR="00D0107F">
        <w:rPr>
          <w:lang w:val="en-GB"/>
        </w:rPr>
        <w:t>.</w:t>
      </w:r>
      <w:r w:rsidR="005662B8">
        <w:rPr>
          <w:lang w:val="en-GB"/>
        </w:rPr>
        <w:t xml:space="preserve"> </w:t>
      </w:r>
    </w:p>
    <w:p w:rsidR="006C3431" w:rsidRDefault="006C3431" w:rsidP="00360020">
      <w:pPr>
        <w:ind w:left="720"/>
        <w:jc w:val="both"/>
        <w:rPr>
          <w:lang w:val="en-GB"/>
        </w:rPr>
      </w:pPr>
    </w:p>
    <w:p w:rsidR="00244869" w:rsidRDefault="0021367C" w:rsidP="00360020">
      <w:pPr>
        <w:ind w:left="720"/>
        <w:jc w:val="both"/>
        <w:rPr>
          <w:lang w:val="en-GB"/>
        </w:rPr>
      </w:pPr>
      <w:r>
        <w:rPr>
          <w:lang w:val="en-GB"/>
        </w:rPr>
        <w:t xml:space="preserve">Fully meeting </w:t>
      </w:r>
      <w:r w:rsidR="007A58A3">
        <w:rPr>
          <w:lang w:val="en-GB"/>
        </w:rPr>
        <w:t>the spending pressures referred to above, most notably taking on the Riverside toilets, in 2021/22 and subsequent years, would require an increase in the precept from £39 to £4</w:t>
      </w:r>
      <w:r>
        <w:rPr>
          <w:lang w:val="en-GB"/>
        </w:rPr>
        <w:t>4</w:t>
      </w:r>
      <w:r w:rsidR="007A58A3">
        <w:rPr>
          <w:lang w:val="en-GB"/>
        </w:rPr>
        <w:t xml:space="preserve">.50 – an increase </w:t>
      </w:r>
      <w:r w:rsidR="00244869">
        <w:rPr>
          <w:lang w:val="en-GB"/>
        </w:rPr>
        <w:t>of 1</w:t>
      </w:r>
      <w:r>
        <w:rPr>
          <w:lang w:val="en-GB"/>
        </w:rPr>
        <w:t>4.1</w:t>
      </w:r>
      <w:r w:rsidR="00244869">
        <w:rPr>
          <w:lang w:val="en-GB"/>
        </w:rPr>
        <w:t xml:space="preserve">%. </w:t>
      </w:r>
      <w:r w:rsidR="008B52B6">
        <w:rPr>
          <w:lang w:val="en-GB"/>
        </w:rPr>
        <w:t xml:space="preserve"> </w:t>
      </w:r>
      <w:r w:rsidR="00244869">
        <w:rPr>
          <w:lang w:val="en-GB"/>
        </w:rPr>
        <w:t xml:space="preserve">This is the most straightforward way for the Council to proceed. </w:t>
      </w:r>
      <w:r w:rsidR="008B52B6">
        <w:rPr>
          <w:lang w:val="en-GB"/>
        </w:rPr>
        <w:t xml:space="preserve"> </w:t>
      </w:r>
      <w:r w:rsidR="00244869">
        <w:rPr>
          <w:lang w:val="en-GB"/>
        </w:rPr>
        <w:t>However, it is recognised that:</w:t>
      </w:r>
    </w:p>
    <w:p w:rsidR="00244869" w:rsidRDefault="00244869" w:rsidP="00360020">
      <w:pPr>
        <w:ind w:left="720"/>
        <w:jc w:val="both"/>
        <w:rPr>
          <w:lang w:val="en-GB"/>
        </w:rPr>
      </w:pPr>
    </w:p>
    <w:p w:rsidR="00244869" w:rsidRDefault="00244869" w:rsidP="00244869">
      <w:pPr>
        <w:pStyle w:val="ListParagraph"/>
        <w:numPr>
          <w:ilvl w:val="0"/>
          <w:numId w:val="34"/>
        </w:numPr>
        <w:jc w:val="both"/>
        <w:rPr>
          <w:lang w:val="en-GB"/>
        </w:rPr>
      </w:pPr>
      <w:r w:rsidRPr="007F577F">
        <w:rPr>
          <w:lang w:val="en-GB"/>
        </w:rPr>
        <w:t xml:space="preserve">As a result, directly or indirectly, of the pandemic a lot of Stourport people are struggling financially and </w:t>
      </w:r>
      <w:r>
        <w:rPr>
          <w:lang w:val="en-GB"/>
        </w:rPr>
        <w:t>may well, this year particularly, feel that there should be no</w:t>
      </w:r>
      <w:r w:rsidRPr="007F577F">
        <w:rPr>
          <w:lang w:val="en-GB"/>
        </w:rPr>
        <w:t xml:space="preserve"> increase </w:t>
      </w:r>
      <w:r>
        <w:rPr>
          <w:lang w:val="en-GB"/>
        </w:rPr>
        <w:t xml:space="preserve">at all in </w:t>
      </w:r>
      <w:r w:rsidRPr="007F577F">
        <w:rPr>
          <w:lang w:val="en-GB"/>
        </w:rPr>
        <w:t>the Council Tax</w:t>
      </w:r>
      <w:r>
        <w:rPr>
          <w:lang w:val="en-GB"/>
        </w:rPr>
        <w:t xml:space="preserve">; </w:t>
      </w:r>
    </w:p>
    <w:p w:rsidR="00244869" w:rsidRDefault="00244869" w:rsidP="00244869">
      <w:pPr>
        <w:pStyle w:val="ListParagraph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>People may feel that the factors generating the increased charge do so without offering them any enhancement in the Council services they receive; and</w:t>
      </w:r>
    </w:p>
    <w:p w:rsidR="00244869" w:rsidRDefault="00244869" w:rsidP="00244869">
      <w:pPr>
        <w:pStyle w:val="ListParagraph"/>
        <w:numPr>
          <w:ilvl w:val="0"/>
          <w:numId w:val="34"/>
        </w:numPr>
        <w:jc w:val="both"/>
        <w:rPr>
          <w:lang w:val="en-GB"/>
        </w:rPr>
      </w:pPr>
      <w:r>
        <w:rPr>
          <w:lang w:val="en-GB"/>
        </w:rPr>
        <w:t xml:space="preserve">People may also be hostile to an increase because the services they receive have actually reduced in the last 12 months e.g. no 3 Kings </w:t>
      </w:r>
      <w:r w:rsidR="00E56E86">
        <w:rPr>
          <w:lang w:val="en-GB"/>
        </w:rPr>
        <w:t>P</w:t>
      </w:r>
      <w:r>
        <w:rPr>
          <w:lang w:val="en-GB"/>
        </w:rPr>
        <w:t>arade, no opening of the paddling pool, temporary closures of play facilities and so on.</w:t>
      </w:r>
    </w:p>
    <w:p w:rsidR="00244869" w:rsidRPr="00244869" w:rsidRDefault="00244869" w:rsidP="00244869">
      <w:pPr>
        <w:jc w:val="both"/>
        <w:rPr>
          <w:lang w:val="en-GB"/>
        </w:rPr>
      </w:pPr>
      <w:r w:rsidRPr="00244869">
        <w:rPr>
          <w:lang w:val="en-GB"/>
        </w:rPr>
        <w:t xml:space="preserve"> </w:t>
      </w:r>
    </w:p>
    <w:p w:rsidR="0021367C" w:rsidRDefault="0021367C" w:rsidP="00FB31B7">
      <w:pPr>
        <w:ind w:left="720"/>
        <w:jc w:val="both"/>
        <w:rPr>
          <w:lang w:val="en-GB"/>
        </w:rPr>
      </w:pPr>
      <w:r>
        <w:rPr>
          <w:lang w:val="en-GB"/>
        </w:rPr>
        <w:t>The Council may</w:t>
      </w:r>
      <w:r w:rsidR="00244869">
        <w:rPr>
          <w:lang w:val="en-GB"/>
        </w:rPr>
        <w:t xml:space="preserve">, therefore, </w:t>
      </w:r>
      <w:r>
        <w:rPr>
          <w:lang w:val="en-GB"/>
        </w:rPr>
        <w:t xml:space="preserve">wish </w:t>
      </w:r>
      <w:r w:rsidR="00244869">
        <w:rPr>
          <w:lang w:val="en-GB"/>
        </w:rPr>
        <w:t>to</w:t>
      </w:r>
      <w:r w:rsidR="0014104C">
        <w:rPr>
          <w:lang w:val="en-GB"/>
        </w:rPr>
        <w:t xml:space="preserve"> mitigate the precept increase by using some of the balances </w:t>
      </w:r>
      <w:r w:rsidR="00E56E86">
        <w:rPr>
          <w:lang w:val="en-GB"/>
        </w:rPr>
        <w:t xml:space="preserve">arising from </w:t>
      </w:r>
      <w:r w:rsidR="0014104C">
        <w:rPr>
          <w:lang w:val="en-GB"/>
        </w:rPr>
        <w:t>the underspend in the current year.</w:t>
      </w:r>
      <w:r w:rsidR="00244869">
        <w:rPr>
          <w:lang w:val="en-GB"/>
        </w:rPr>
        <w:t xml:space="preserve"> </w:t>
      </w:r>
      <w:r w:rsidR="008B52B6">
        <w:rPr>
          <w:lang w:val="en-GB"/>
        </w:rPr>
        <w:t xml:space="preserve"> </w:t>
      </w:r>
      <w:r w:rsidR="0014104C">
        <w:rPr>
          <w:lang w:val="en-GB"/>
        </w:rPr>
        <w:t>In light of these points, t</w:t>
      </w:r>
      <w:r w:rsidR="00226A36">
        <w:rPr>
          <w:lang w:val="en-GB"/>
        </w:rPr>
        <w:t xml:space="preserve">he </w:t>
      </w:r>
      <w:r w:rsidR="007F577F">
        <w:rPr>
          <w:lang w:val="en-GB"/>
        </w:rPr>
        <w:t xml:space="preserve">draft budget </w:t>
      </w:r>
      <w:r w:rsidR="0000733E">
        <w:rPr>
          <w:lang w:val="en-GB"/>
        </w:rPr>
        <w:t xml:space="preserve">for 2021/22 </w:t>
      </w:r>
      <w:r w:rsidR="00E56E86">
        <w:rPr>
          <w:lang w:val="en-GB"/>
        </w:rPr>
        <w:t>attach</w:t>
      </w:r>
      <w:r w:rsidR="007420F5">
        <w:rPr>
          <w:lang w:val="en-GB"/>
        </w:rPr>
        <w:t xml:space="preserve">ed </w:t>
      </w:r>
      <w:r w:rsidR="0014104C">
        <w:rPr>
          <w:lang w:val="en-GB"/>
        </w:rPr>
        <w:t xml:space="preserve">is based on </w:t>
      </w:r>
      <w:r w:rsidR="00226A36">
        <w:rPr>
          <w:lang w:val="en-GB"/>
        </w:rPr>
        <w:t xml:space="preserve">increase of </w:t>
      </w:r>
      <w:r w:rsidR="00407C96">
        <w:rPr>
          <w:lang w:val="en-GB"/>
        </w:rPr>
        <w:t>£</w:t>
      </w:r>
      <w:r w:rsidR="00F84814">
        <w:rPr>
          <w:lang w:val="en-GB"/>
        </w:rPr>
        <w:t>2</w:t>
      </w:r>
      <w:r>
        <w:rPr>
          <w:lang w:val="en-GB"/>
        </w:rPr>
        <w:t>.70</w:t>
      </w:r>
      <w:r w:rsidR="00407C96">
        <w:rPr>
          <w:lang w:val="en-GB"/>
        </w:rPr>
        <w:t xml:space="preserve"> (from £3</w:t>
      </w:r>
      <w:r w:rsidR="00FB31B7">
        <w:rPr>
          <w:lang w:val="en-GB"/>
        </w:rPr>
        <w:t>9</w:t>
      </w:r>
      <w:r w:rsidR="00407C96">
        <w:rPr>
          <w:lang w:val="en-GB"/>
        </w:rPr>
        <w:t>.</w:t>
      </w:r>
      <w:r w:rsidR="00FB31B7">
        <w:rPr>
          <w:lang w:val="en-GB"/>
        </w:rPr>
        <w:t>00</w:t>
      </w:r>
      <w:r w:rsidR="00407C96">
        <w:rPr>
          <w:lang w:val="en-GB"/>
        </w:rPr>
        <w:t xml:space="preserve"> to £</w:t>
      </w:r>
      <w:r w:rsidR="00FB31B7">
        <w:rPr>
          <w:lang w:val="en-GB"/>
        </w:rPr>
        <w:t>41.</w:t>
      </w:r>
      <w:r>
        <w:rPr>
          <w:lang w:val="en-GB"/>
        </w:rPr>
        <w:t>7</w:t>
      </w:r>
      <w:r w:rsidR="00FB31B7">
        <w:rPr>
          <w:lang w:val="en-GB"/>
        </w:rPr>
        <w:t>0</w:t>
      </w:r>
      <w:r w:rsidR="00407C96">
        <w:rPr>
          <w:lang w:val="en-GB"/>
        </w:rPr>
        <w:t xml:space="preserve">) – an increase of </w:t>
      </w:r>
      <w:r>
        <w:rPr>
          <w:lang w:val="en-GB"/>
        </w:rPr>
        <w:t>6</w:t>
      </w:r>
      <w:r w:rsidR="00A87324">
        <w:rPr>
          <w:lang w:val="en-GB"/>
        </w:rPr>
        <w:t>.</w:t>
      </w:r>
      <w:r>
        <w:rPr>
          <w:lang w:val="en-GB"/>
        </w:rPr>
        <w:t>9</w:t>
      </w:r>
      <w:r w:rsidR="00407C96">
        <w:rPr>
          <w:lang w:val="en-GB"/>
        </w:rPr>
        <w:t>%.</w:t>
      </w:r>
      <w:r w:rsidR="0028142C">
        <w:rPr>
          <w:lang w:val="en-GB"/>
        </w:rPr>
        <w:t xml:space="preserve"> </w:t>
      </w:r>
      <w:r w:rsidR="008B52B6">
        <w:rPr>
          <w:lang w:val="en-GB"/>
        </w:rPr>
        <w:t xml:space="preserve"> </w:t>
      </w:r>
      <w:r w:rsidR="0014104C">
        <w:rPr>
          <w:lang w:val="en-GB"/>
        </w:rPr>
        <w:t>This would leave balances at 31</w:t>
      </w:r>
      <w:r w:rsidR="0014104C" w:rsidRPr="0014104C">
        <w:rPr>
          <w:vertAlign w:val="superscript"/>
          <w:lang w:val="en-GB"/>
        </w:rPr>
        <w:t>st</w:t>
      </w:r>
      <w:r w:rsidR="0014104C">
        <w:rPr>
          <w:lang w:val="en-GB"/>
        </w:rPr>
        <w:t xml:space="preserve"> March 2022 at around £6</w:t>
      </w:r>
      <w:r w:rsidR="00E636E9">
        <w:rPr>
          <w:lang w:val="en-GB"/>
        </w:rPr>
        <w:t>0</w:t>
      </w:r>
      <w:r w:rsidR="0014104C">
        <w:rPr>
          <w:lang w:val="en-GB"/>
        </w:rPr>
        <w:t xml:space="preserve">,000. </w:t>
      </w:r>
    </w:p>
    <w:p w:rsidR="0021367C" w:rsidRDefault="0021367C" w:rsidP="00FB31B7">
      <w:pPr>
        <w:ind w:left="720"/>
        <w:jc w:val="both"/>
        <w:rPr>
          <w:lang w:val="en-GB"/>
        </w:rPr>
      </w:pPr>
    </w:p>
    <w:p w:rsidR="00AB2599" w:rsidRDefault="0021367C" w:rsidP="00FB31B7">
      <w:pPr>
        <w:ind w:left="720"/>
        <w:jc w:val="both"/>
        <w:rPr>
          <w:lang w:val="en-GB"/>
        </w:rPr>
      </w:pPr>
      <w:r>
        <w:rPr>
          <w:lang w:val="en-GB"/>
        </w:rPr>
        <w:t xml:space="preserve">If members </w:t>
      </w:r>
      <w:r w:rsidR="00AB2599">
        <w:rPr>
          <w:lang w:val="en-GB"/>
        </w:rPr>
        <w:t xml:space="preserve">do decide to </w:t>
      </w:r>
      <w:r>
        <w:rPr>
          <w:lang w:val="en-GB"/>
        </w:rPr>
        <w:t xml:space="preserve">use some of the balances to support the 2021/22 budget they need to understand that </w:t>
      </w:r>
      <w:r w:rsidR="00AB2599">
        <w:rPr>
          <w:lang w:val="en-GB"/>
        </w:rPr>
        <w:t xml:space="preserve">a further increase will be needed in 2022/23 because a ‘funding from balances’ approach can only be sustained short-term. </w:t>
      </w:r>
      <w:r w:rsidR="008B52B6">
        <w:rPr>
          <w:lang w:val="en-GB"/>
        </w:rPr>
        <w:t xml:space="preserve"> </w:t>
      </w:r>
      <w:r w:rsidR="00FB31B7">
        <w:rPr>
          <w:lang w:val="en-GB"/>
        </w:rPr>
        <w:t xml:space="preserve">The projection </w:t>
      </w:r>
      <w:r w:rsidR="00AB2599">
        <w:rPr>
          <w:lang w:val="en-GB"/>
        </w:rPr>
        <w:t xml:space="preserve">given </w:t>
      </w:r>
      <w:r w:rsidR="00FB31B7">
        <w:rPr>
          <w:lang w:val="en-GB"/>
        </w:rPr>
        <w:t>for 2022/23 is based on a</w:t>
      </w:r>
      <w:r w:rsidR="0000733E">
        <w:rPr>
          <w:lang w:val="en-GB"/>
        </w:rPr>
        <w:t xml:space="preserve"> precept </w:t>
      </w:r>
      <w:r w:rsidR="00FB31B7">
        <w:rPr>
          <w:lang w:val="en-GB"/>
        </w:rPr>
        <w:t>increase to £4</w:t>
      </w:r>
      <w:r w:rsidR="00AB2599">
        <w:rPr>
          <w:lang w:val="en-GB"/>
        </w:rPr>
        <w:t xml:space="preserve">4.70 </w:t>
      </w:r>
      <w:r w:rsidR="0014104C">
        <w:rPr>
          <w:lang w:val="en-GB"/>
        </w:rPr>
        <w:t>and</w:t>
      </w:r>
      <w:r w:rsidR="00AB2599">
        <w:rPr>
          <w:lang w:val="en-GB"/>
        </w:rPr>
        <w:t>, all else being equal,</w:t>
      </w:r>
      <w:r w:rsidR="0014104C">
        <w:rPr>
          <w:lang w:val="en-GB"/>
        </w:rPr>
        <w:t xml:space="preserve"> would </w:t>
      </w:r>
      <w:r w:rsidR="00E636E9">
        <w:rPr>
          <w:lang w:val="en-GB"/>
        </w:rPr>
        <w:t>retain</w:t>
      </w:r>
      <w:r w:rsidR="0014104C">
        <w:rPr>
          <w:lang w:val="en-GB"/>
        </w:rPr>
        <w:t xml:space="preserve"> balances at 31</w:t>
      </w:r>
      <w:r w:rsidR="0014104C" w:rsidRPr="0014104C">
        <w:rPr>
          <w:vertAlign w:val="superscript"/>
          <w:lang w:val="en-GB"/>
        </w:rPr>
        <w:t>st</w:t>
      </w:r>
      <w:r w:rsidR="0014104C">
        <w:rPr>
          <w:lang w:val="en-GB"/>
        </w:rPr>
        <w:t xml:space="preserve"> March 2023 at around £</w:t>
      </w:r>
      <w:r w:rsidR="00E636E9">
        <w:rPr>
          <w:lang w:val="en-GB"/>
        </w:rPr>
        <w:t>6</w:t>
      </w:r>
      <w:r w:rsidR="00B955BF">
        <w:rPr>
          <w:lang w:val="en-GB"/>
        </w:rPr>
        <w:t>3</w:t>
      </w:r>
      <w:r w:rsidR="0014104C">
        <w:rPr>
          <w:lang w:val="en-GB"/>
        </w:rPr>
        <w:t>,000</w:t>
      </w:r>
      <w:r w:rsidR="00FB31B7">
        <w:rPr>
          <w:lang w:val="en-GB"/>
        </w:rPr>
        <w:t xml:space="preserve">. </w:t>
      </w:r>
    </w:p>
    <w:p w:rsidR="00AB2599" w:rsidRDefault="00AB2599" w:rsidP="00FB31B7">
      <w:pPr>
        <w:ind w:left="720"/>
        <w:jc w:val="both"/>
        <w:rPr>
          <w:lang w:val="en-GB"/>
        </w:rPr>
      </w:pPr>
    </w:p>
    <w:p w:rsidR="00407C96" w:rsidRDefault="0014104C" w:rsidP="00FB31B7">
      <w:pPr>
        <w:ind w:left="720"/>
        <w:jc w:val="both"/>
        <w:rPr>
          <w:lang w:val="en-GB"/>
        </w:rPr>
      </w:pPr>
      <w:r>
        <w:rPr>
          <w:lang w:val="en-GB"/>
        </w:rPr>
        <w:lastRenderedPageBreak/>
        <w:t xml:space="preserve">If </w:t>
      </w:r>
      <w:r w:rsidR="00AB2599">
        <w:rPr>
          <w:lang w:val="en-GB"/>
        </w:rPr>
        <w:t xml:space="preserve">members feel unable </w:t>
      </w:r>
      <w:r>
        <w:rPr>
          <w:lang w:val="en-GB"/>
        </w:rPr>
        <w:t xml:space="preserve">to </w:t>
      </w:r>
      <w:r w:rsidR="00AB2599">
        <w:rPr>
          <w:lang w:val="en-GB"/>
        </w:rPr>
        <w:t xml:space="preserve">increase the precept as high as </w:t>
      </w:r>
      <w:r>
        <w:rPr>
          <w:lang w:val="en-GB"/>
        </w:rPr>
        <w:t>£41</w:t>
      </w:r>
      <w:r w:rsidR="00AB2599">
        <w:rPr>
          <w:lang w:val="en-GB"/>
        </w:rPr>
        <w:t xml:space="preserve">.70 </w:t>
      </w:r>
      <w:r w:rsidR="00B955BF">
        <w:rPr>
          <w:lang w:val="en-GB"/>
        </w:rPr>
        <w:t xml:space="preserve">this time </w:t>
      </w:r>
      <w:r>
        <w:rPr>
          <w:lang w:val="en-GB"/>
        </w:rPr>
        <w:t xml:space="preserve">then there will need to be discussions about where we can find savings e.g. whether we really can proceed </w:t>
      </w:r>
      <w:r w:rsidR="00E636E9">
        <w:rPr>
          <w:lang w:val="en-GB"/>
        </w:rPr>
        <w:t xml:space="preserve">now </w:t>
      </w:r>
      <w:r>
        <w:rPr>
          <w:lang w:val="en-GB"/>
        </w:rPr>
        <w:t xml:space="preserve">with taking over the Riverside toilets. </w:t>
      </w:r>
    </w:p>
    <w:p w:rsidR="00D0107F" w:rsidRDefault="00D0107F" w:rsidP="00360020">
      <w:pPr>
        <w:ind w:left="720"/>
        <w:jc w:val="both"/>
        <w:rPr>
          <w:lang w:val="en-GB"/>
        </w:rPr>
      </w:pPr>
    </w:p>
    <w:p w:rsidR="00964FC1" w:rsidRDefault="00964FC1" w:rsidP="00A5545D">
      <w:pPr>
        <w:ind w:left="720"/>
        <w:jc w:val="both"/>
        <w:rPr>
          <w:lang w:val="en-GB"/>
        </w:rPr>
      </w:pPr>
      <w:r>
        <w:rPr>
          <w:lang w:val="en-GB"/>
        </w:rPr>
        <w:t xml:space="preserve">Members may be interested to see how the Stourport precept </w:t>
      </w:r>
      <w:r w:rsidR="00896F67">
        <w:rPr>
          <w:lang w:val="en-GB"/>
        </w:rPr>
        <w:t>in 20</w:t>
      </w:r>
      <w:r w:rsidR="00FB31B7">
        <w:rPr>
          <w:lang w:val="en-GB"/>
        </w:rPr>
        <w:t>20</w:t>
      </w:r>
      <w:r w:rsidR="00896F67">
        <w:rPr>
          <w:lang w:val="en-GB"/>
        </w:rPr>
        <w:t>-</w:t>
      </w:r>
      <w:r w:rsidR="001D1991">
        <w:rPr>
          <w:lang w:val="en-GB"/>
        </w:rPr>
        <w:t>2</w:t>
      </w:r>
      <w:r w:rsidR="00FB31B7">
        <w:rPr>
          <w:lang w:val="en-GB"/>
        </w:rPr>
        <w:t>1</w:t>
      </w:r>
      <w:r w:rsidR="00896F67">
        <w:rPr>
          <w:lang w:val="en-GB"/>
        </w:rPr>
        <w:t xml:space="preserve"> </w:t>
      </w:r>
      <w:r>
        <w:rPr>
          <w:lang w:val="en-GB"/>
        </w:rPr>
        <w:t>compare</w:t>
      </w:r>
      <w:r w:rsidR="00896F67">
        <w:rPr>
          <w:lang w:val="en-GB"/>
        </w:rPr>
        <w:t>d</w:t>
      </w:r>
      <w:r>
        <w:rPr>
          <w:lang w:val="en-GB"/>
        </w:rPr>
        <w:t xml:space="preserve"> with that of other sizable town and parish councils in Worcestershire. </w:t>
      </w:r>
    </w:p>
    <w:tbl>
      <w:tblPr>
        <w:tblW w:w="7580" w:type="dxa"/>
        <w:tblInd w:w="720" w:type="dxa"/>
        <w:tblLook w:val="04A0"/>
      </w:tblPr>
      <w:tblGrid>
        <w:gridCol w:w="1820"/>
        <w:gridCol w:w="2880"/>
        <w:gridCol w:w="1440"/>
        <w:gridCol w:w="1440"/>
      </w:tblGrid>
      <w:tr w:rsidR="00964FC1" w:rsidRPr="008322CA" w:rsidTr="00B135B9">
        <w:trPr>
          <w:trHeight w:val="1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b/>
                <w:bCs/>
                <w:sz w:val="20"/>
                <w:szCs w:val="20"/>
              </w:rPr>
            </w:pPr>
            <w:r w:rsidRPr="008322CA">
              <w:rPr>
                <w:b/>
                <w:bCs/>
                <w:sz w:val="20"/>
                <w:szCs w:val="20"/>
              </w:rPr>
              <w:t>Local Authority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b/>
                <w:bCs/>
                <w:sz w:val="20"/>
                <w:szCs w:val="20"/>
              </w:rPr>
            </w:pPr>
            <w:r w:rsidRPr="008322CA">
              <w:rPr>
                <w:b/>
                <w:bCs/>
                <w:sz w:val="20"/>
                <w:szCs w:val="20"/>
              </w:rPr>
              <w:t>Parish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FC1" w:rsidRPr="008322CA" w:rsidRDefault="00964FC1" w:rsidP="00964FC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FC1" w:rsidRPr="008322CA" w:rsidRDefault="00964FC1" w:rsidP="00964FC1">
            <w:pPr>
              <w:jc w:val="right"/>
              <w:rPr>
                <w:b/>
                <w:bCs/>
                <w:sz w:val="20"/>
                <w:szCs w:val="20"/>
              </w:rPr>
            </w:pPr>
            <w:r w:rsidRPr="008322CA">
              <w:rPr>
                <w:b/>
                <w:bCs/>
                <w:sz w:val="20"/>
                <w:szCs w:val="20"/>
              </w:rPr>
              <w:t xml:space="preserve">Band D council tax (£) 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Wyre Forest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Kidderminster Town Council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895DE0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37.00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Malvern Hills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Malvern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DC7BE9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102.46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Wychavon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Evesham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DC7BE9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62.45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Wychavon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Droitwich Spa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DC7BE9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45.32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b/>
                <w:color w:val="000000"/>
                <w:sz w:val="22"/>
                <w:szCs w:val="22"/>
              </w:rPr>
            </w:pPr>
            <w:r w:rsidRPr="008322CA">
              <w:rPr>
                <w:b/>
                <w:color w:val="000000"/>
                <w:sz w:val="22"/>
                <w:szCs w:val="22"/>
              </w:rPr>
              <w:t>Wyre Forest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b/>
                <w:color w:val="000000"/>
                <w:sz w:val="22"/>
                <w:szCs w:val="22"/>
              </w:rPr>
            </w:pPr>
            <w:r w:rsidRPr="008322CA">
              <w:rPr>
                <w:b/>
                <w:color w:val="000000"/>
                <w:sz w:val="22"/>
                <w:szCs w:val="22"/>
              </w:rPr>
              <w:t>Stourport-on-Severn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895D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322CA">
              <w:rPr>
                <w:b/>
                <w:color w:val="000000"/>
                <w:sz w:val="22"/>
                <w:szCs w:val="22"/>
              </w:rPr>
              <w:t>39.00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Bromsgrove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2CA">
              <w:rPr>
                <w:color w:val="000000"/>
                <w:sz w:val="22"/>
                <w:szCs w:val="22"/>
              </w:rPr>
              <w:t>Wythall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27.29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84126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2CA">
              <w:rPr>
                <w:color w:val="000000"/>
                <w:sz w:val="22"/>
                <w:szCs w:val="22"/>
              </w:rPr>
              <w:t>W</w:t>
            </w:r>
            <w:r w:rsidR="00964FC1" w:rsidRPr="008322CA">
              <w:rPr>
                <w:color w:val="000000"/>
                <w:sz w:val="22"/>
                <w:szCs w:val="22"/>
              </w:rPr>
              <w:t>yre</w:t>
            </w:r>
            <w:proofErr w:type="spellEnd"/>
            <w:r w:rsidR="00964FC1" w:rsidRPr="008322CA">
              <w:rPr>
                <w:color w:val="000000"/>
                <w:sz w:val="22"/>
                <w:szCs w:val="22"/>
              </w:rPr>
              <w:t xml:space="preserve"> Forest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Bewdley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895DE0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Wychavon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Pershore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DC7BE9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69.95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Bromsgrove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Hagley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DC7BE9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57.42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Bromsgrove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2CA">
              <w:rPr>
                <w:color w:val="000000"/>
                <w:sz w:val="22"/>
                <w:szCs w:val="22"/>
              </w:rPr>
              <w:t>Catshill</w:t>
            </w:r>
            <w:proofErr w:type="spellEnd"/>
            <w:r w:rsidRPr="008322CA">
              <w:rPr>
                <w:color w:val="000000"/>
                <w:sz w:val="22"/>
                <w:szCs w:val="22"/>
              </w:rPr>
              <w:t xml:space="preserve"> and North </w:t>
            </w:r>
            <w:proofErr w:type="spellStart"/>
            <w:r w:rsidRPr="008322CA">
              <w:rPr>
                <w:color w:val="000000"/>
                <w:sz w:val="22"/>
                <w:szCs w:val="22"/>
              </w:rPr>
              <w:t>Marlbrook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DC7BE9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21.96</w:t>
            </w:r>
          </w:p>
        </w:tc>
      </w:tr>
      <w:tr w:rsidR="00964FC1" w:rsidRPr="008322CA" w:rsidTr="00FB31B7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Bromsgrove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22CA">
              <w:rPr>
                <w:color w:val="000000"/>
                <w:sz w:val="22"/>
                <w:szCs w:val="22"/>
              </w:rPr>
              <w:t>Alvechurch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FC1" w:rsidRPr="008322CA" w:rsidRDefault="00964FC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4FC1" w:rsidRPr="008322CA" w:rsidRDefault="007420F5" w:rsidP="00DC7BE9">
            <w:pPr>
              <w:jc w:val="right"/>
              <w:rPr>
                <w:color w:val="000000"/>
                <w:sz w:val="22"/>
                <w:szCs w:val="22"/>
              </w:rPr>
            </w:pPr>
            <w:r w:rsidRPr="008322CA">
              <w:rPr>
                <w:color w:val="000000"/>
                <w:sz w:val="22"/>
                <w:szCs w:val="22"/>
              </w:rPr>
              <w:t>55.64</w:t>
            </w:r>
          </w:p>
        </w:tc>
      </w:tr>
    </w:tbl>
    <w:p w:rsidR="00964FC1" w:rsidRDefault="00964FC1" w:rsidP="00A5545D">
      <w:pPr>
        <w:ind w:left="720"/>
        <w:jc w:val="both"/>
        <w:rPr>
          <w:lang w:val="en-GB"/>
        </w:rPr>
      </w:pPr>
    </w:p>
    <w:p w:rsidR="00B955BF" w:rsidRDefault="00B955BF" w:rsidP="00B955BF">
      <w:pPr>
        <w:pStyle w:val="ListParagraph"/>
        <w:jc w:val="both"/>
        <w:rPr>
          <w:lang w:val="en-GB"/>
        </w:rPr>
      </w:pPr>
    </w:p>
    <w:p w:rsidR="00B955BF" w:rsidRDefault="00B955BF" w:rsidP="00B955BF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Members are, of course, very welcome to discuss all these issues and the draft budget figures can be amended as appropriate. </w:t>
      </w:r>
    </w:p>
    <w:p w:rsidR="00613317" w:rsidRDefault="00613317" w:rsidP="00F500B0">
      <w:pPr>
        <w:jc w:val="both"/>
        <w:rPr>
          <w:b/>
          <w:lang w:val="en-GB"/>
        </w:rPr>
      </w:pPr>
    </w:p>
    <w:p w:rsidR="00457938" w:rsidRDefault="00FA78A7" w:rsidP="00F500B0">
      <w:pPr>
        <w:jc w:val="both"/>
        <w:rPr>
          <w:b/>
          <w:i/>
          <w:u w:val="single"/>
          <w:lang w:val="en-GB"/>
        </w:rPr>
      </w:pPr>
      <w:r>
        <w:rPr>
          <w:b/>
          <w:lang w:val="en-GB"/>
        </w:rPr>
        <w:t>7</w:t>
      </w:r>
      <w:r w:rsidR="006277A6">
        <w:rPr>
          <w:b/>
          <w:lang w:val="en-GB"/>
        </w:rPr>
        <w:t>.</w:t>
      </w:r>
      <w:r w:rsidR="006277A6">
        <w:rPr>
          <w:b/>
          <w:lang w:val="en-GB"/>
        </w:rPr>
        <w:tab/>
      </w:r>
      <w:r w:rsidR="008F52C3" w:rsidRPr="0094437B">
        <w:rPr>
          <w:b/>
          <w:i/>
          <w:u w:val="single"/>
          <w:lang w:val="en-GB"/>
        </w:rPr>
        <w:t>RECOMMENDATIONS</w:t>
      </w:r>
    </w:p>
    <w:p w:rsidR="000B7423" w:rsidRDefault="000B7423" w:rsidP="00F500B0">
      <w:pPr>
        <w:jc w:val="both"/>
        <w:rPr>
          <w:b/>
          <w:i/>
          <w:u w:val="single"/>
          <w:lang w:val="en-GB"/>
        </w:rPr>
      </w:pPr>
    </w:p>
    <w:p w:rsidR="00C92A0D" w:rsidRDefault="0081138A" w:rsidP="0005406A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ab/>
        <w:t>It is</w:t>
      </w:r>
      <w:r w:rsidR="00656E5F">
        <w:rPr>
          <w:b/>
          <w:i/>
          <w:lang w:val="en-GB"/>
        </w:rPr>
        <w:t xml:space="preserve"> RECOMMENDED that</w:t>
      </w:r>
      <w:r w:rsidR="0005406A">
        <w:rPr>
          <w:b/>
          <w:i/>
          <w:lang w:val="en-GB"/>
        </w:rPr>
        <w:t xml:space="preserve"> t</w:t>
      </w:r>
      <w:r w:rsidR="00C92A0D">
        <w:rPr>
          <w:b/>
          <w:i/>
          <w:lang w:val="en-GB"/>
        </w:rPr>
        <w:t>he Committee Recommend</w:t>
      </w:r>
      <w:r w:rsidR="00E67748">
        <w:rPr>
          <w:b/>
          <w:i/>
          <w:lang w:val="en-GB"/>
        </w:rPr>
        <w:t>s</w:t>
      </w:r>
      <w:r w:rsidR="00C92A0D">
        <w:rPr>
          <w:b/>
          <w:i/>
          <w:lang w:val="en-GB"/>
        </w:rPr>
        <w:t xml:space="preserve"> to Council: </w:t>
      </w:r>
    </w:p>
    <w:p w:rsidR="00560F26" w:rsidRPr="000B7423" w:rsidRDefault="00560F26" w:rsidP="000B7423">
      <w:pPr>
        <w:pStyle w:val="ListParagraph"/>
        <w:numPr>
          <w:ilvl w:val="0"/>
          <w:numId w:val="35"/>
        </w:numPr>
        <w:ind w:left="1134"/>
        <w:jc w:val="both"/>
        <w:rPr>
          <w:b/>
          <w:i/>
          <w:lang w:val="en-GB"/>
        </w:rPr>
      </w:pPr>
      <w:r w:rsidRPr="000B7423">
        <w:rPr>
          <w:b/>
          <w:i/>
          <w:lang w:val="en-GB"/>
        </w:rPr>
        <w:t>A decision in relation to burial fees and allotment rents;</w:t>
      </w:r>
    </w:p>
    <w:p w:rsidR="0005406A" w:rsidRDefault="00C92A0D" w:rsidP="000B7423">
      <w:pPr>
        <w:pStyle w:val="ListParagraph"/>
        <w:numPr>
          <w:ilvl w:val="0"/>
          <w:numId w:val="35"/>
        </w:numPr>
        <w:ind w:left="1134"/>
        <w:jc w:val="both"/>
        <w:rPr>
          <w:b/>
          <w:i/>
          <w:lang w:val="en-GB"/>
        </w:rPr>
      </w:pPr>
      <w:r w:rsidRPr="0005406A">
        <w:rPr>
          <w:b/>
          <w:i/>
          <w:lang w:val="en-GB"/>
        </w:rPr>
        <w:t>Approval of t</w:t>
      </w:r>
      <w:r w:rsidR="00323DC9" w:rsidRPr="0005406A">
        <w:rPr>
          <w:b/>
          <w:i/>
          <w:lang w:val="en-GB"/>
        </w:rPr>
        <w:t xml:space="preserve">he Revised </w:t>
      </w:r>
      <w:r w:rsidR="00452B60" w:rsidRPr="0005406A">
        <w:rPr>
          <w:b/>
          <w:i/>
          <w:lang w:val="en-GB"/>
        </w:rPr>
        <w:t>Estimates</w:t>
      </w:r>
      <w:r w:rsidR="00323DC9" w:rsidRPr="0005406A">
        <w:rPr>
          <w:b/>
          <w:i/>
          <w:lang w:val="en-GB"/>
        </w:rPr>
        <w:t xml:space="preserve"> for 20</w:t>
      </w:r>
      <w:r w:rsidR="00FB31B7">
        <w:rPr>
          <w:b/>
          <w:i/>
          <w:lang w:val="en-GB"/>
        </w:rPr>
        <w:t>20</w:t>
      </w:r>
      <w:r w:rsidR="00323DC9" w:rsidRPr="0005406A">
        <w:rPr>
          <w:b/>
          <w:i/>
          <w:lang w:val="en-GB"/>
        </w:rPr>
        <w:t>/</w:t>
      </w:r>
      <w:r w:rsidR="001D1991">
        <w:rPr>
          <w:b/>
          <w:i/>
          <w:lang w:val="en-GB"/>
        </w:rPr>
        <w:t>2</w:t>
      </w:r>
      <w:r w:rsidR="00FB31B7">
        <w:rPr>
          <w:b/>
          <w:i/>
          <w:lang w:val="en-GB"/>
        </w:rPr>
        <w:t>1</w:t>
      </w:r>
      <w:r w:rsidR="0005406A">
        <w:rPr>
          <w:b/>
          <w:i/>
          <w:lang w:val="en-GB"/>
        </w:rPr>
        <w:t>;</w:t>
      </w:r>
    </w:p>
    <w:p w:rsidR="00457938" w:rsidRPr="0005406A" w:rsidRDefault="00FA78A7" w:rsidP="000B7423">
      <w:pPr>
        <w:pStyle w:val="ListParagraph"/>
        <w:numPr>
          <w:ilvl w:val="0"/>
          <w:numId w:val="35"/>
        </w:numPr>
        <w:ind w:left="1134"/>
        <w:jc w:val="both"/>
        <w:rPr>
          <w:b/>
          <w:i/>
          <w:lang w:val="en-GB"/>
        </w:rPr>
      </w:pPr>
      <w:r w:rsidRPr="0005406A">
        <w:rPr>
          <w:b/>
          <w:i/>
          <w:lang w:val="en-GB"/>
        </w:rPr>
        <w:t xml:space="preserve">Approval of </w:t>
      </w:r>
      <w:r w:rsidR="00B95366" w:rsidRPr="0005406A">
        <w:rPr>
          <w:b/>
          <w:i/>
          <w:lang w:val="en-GB"/>
        </w:rPr>
        <w:t xml:space="preserve">a </w:t>
      </w:r>
      <w:r w:rsidR="00452B60" w:rsidRPr="0005406A">
        <w:rPr>
          <w:b/>
          <w:i/>
          <w:lang w:val="en-GB"/>
        </w:rPr>
        <w:t xml:space="preserve">draft </w:t>
      </w:r>
      <w:r w:rsidR="00574984" w:rsidRPr="0005406A">
        <w:rPr>
          <w:b/>
          <w:i/>
          <w:lang w:val="en-GB"/>
        </w:rPr>
        <w:t xml:space="preserve">Budget </w:t>
      </w:r>
      <w:r w:rsidR="00323DC9" w:rsidRPr="0005406A">
        <w:rPr>
          <w:b/>
          <w:i/>
          <w:lang w:val="en-GB"/>
        </w:rPr>
        <w:t>for 20</w:t>
      </w:r>
      <w:r w:rsidR="001D1991">
        <w:rPr>
          <w:b/>
          <w:i/>
          <w:lang w:val="en-GB"/>
        </w:rPr>
        <w:t>2</w:t>
      </w:r>
      <w:r w:rsidR="00FB31B7">
        <w:rPr>
          <w:b/>
          <w:i/>
          <w:lang w:val="en-GB"/>
        </w:rPr>
        <w:t>1</w:t>
      </w:r>
      <w:r w:rsidR="00323DC9" w:rsidRPr="0005406A">
        <w:rPr>
          <w:b/>
          <w:i/>
          <w:lang w:val="en-GB"/>
        </w:rPr>
        <w:t>/</w:t>
      </w:r>
      <w:r w:rsidR="0005406A">
        <w:rPr>
          <w:b/>
          <w:i/>
          <w:lang w:val="en-GB"/>
        </w:rPr>
        <w:t>2</w:t>
      </w:r>
      <w:r w:rsidR="00FB31B7">
        <w:rPr>
          <w:b/>
          <w:i/>
          <w:lang w:val="en-GB"/>
        </w:rPr>
        <w:t>2</w:t>
      </w:r>
      <w:r w:rsidR="00323DC9" w:rsidRPr="0005406A">
        <w:rPr>
          <w:b/>
          <w:i/>
          <w:lang w:val="en-GB"/>
        </w:rPr>
        <w:t xml:space="preserve"> </w:t>
      </w:r>
      <w:r w:rsidR="00BF6B94" w:rsidRPr="0005406A">
        <w:rPr>
          <w:b/>
          <w:i/>
          <w:lang w:val="en-GB"/>
        </w:rPr>
        <w:t>and the</w:t>
      </w:r>
      <w:r w:rsidR="00BF6B94" w:rsidRPr="0005406A">
        <w:rPr>
          <w:i/>
          <w:lang w:val="en-GB"/>
        </w:rPr>
        <w:t xml:space="preserve"> </w:t>
      </w:r>
      <w:r w:rsidR="00BF6B94" w:rsidRPr="0005406A">
        <w:rPr>
          <w:b/>
          <w:i/>
          <w:lang w:val="en-GB"/>
        </w:rPr>
        <w:t>Vehicle, Equipment and Election</w:t>
      </w:r>
      <w:r w:rsidR="00C92A0D" w:rsidRPr="0005406A">
        <w:rPr>
          <w:b/>
          <w:i/>
          <w:lang w:val="en-GB"/>
        </w:rPr>
        <w:t xml:space="preserve"> </w:t>
      </w:r>
      <w:r w:rsidR="00BF6B94" w:rsidRPr="0005406A">
        <w:rPr>
          <w:b/>
          <w:i/>
          <w:lang w:val="en-GB"/>
        </w:rPr>
        <w:t>Programme.</w:t>
      </w:r>
    </w:p>
    <w:p w:rsidR="00C92A0D" w:rsidRPr="00375FE0" w:rsidRDefault="00C92A0D" w:rsidP="000B7423">
      <w:pPr>
        <w:pStyle w:val="ListParagraph"/>
        <w:numPr>
          <w:ilvl w:val="0"/>
          <w:numId w:val="35"/>
        </w:numPr>
        <w:ind w:left="1134"/>
        <w:jc w:val="both"/>
        <w:rPr>
          <w:b/>
          <w:i/>
          <w:lang w:val="en-GB"/>
        </w:rPr>
      </w:pPr>
      <w:r w:rsidRPr="00656E5F">
        <w:rPr>
          <w:b/>
          <w:i/>
          <w:lang w:val="en-GB"/>
        </w:rPr>
        <w:t xml:space="preserve">An appropriate level </w:t>
      </w:r>
      <w:r w:rsidR="0071210F" w:rsidRPr="00656E5F">
        <w:rPr>
          <w:b/>
          <w:i/>
          <w:lang w:val="en-GB"/>
        </w:rPr>
        <w:t xml:space="preserve">of </w:t>
      </w:r>
      <w:r w:rsidRPr="00656E5F">
        <w:rPr>
          <w:b/>
          <w:i/>
          <w:lang w:val="en-GB"/>
        </w:rPr>
        <w:t xml:space="preserve">precept after taking into account the </w:t>
      </w:r>
      <w:r w:rsidR="00452B60">
        <w:rPr>
          <w:b/>
          <w:i/>
          <w:lang w:val="en-GB"/>
        </w:rPr>
        <w:t xml:space="preserve">draft </w:t>
      </w:r>
      <w:r w:rsidRPr="00375FE0">
        <w:rPr>
          <w:b/>
          <w:i/>
          <w:lang w:val="en-GB"/>
        </w:rPr>
        <w:t>Budget</w:t>
      </w:r>
      <w:r w:rsidR="00452B60">
        <w:rPr>
          <w:b/>
          <w:i/>
          <w:lang w:val="en-GB"/>
        </w:rPr>
        <w:t xml:space="preserve">, </w:t>
      </w:r>
      <w:r w:rsidR="00360020">
        <w:rPr>
          <w:b/>
          <w:i/>
          <w:lang w:val="en-GB"/>
        </w:rPr>
        <w:t>any further budget ‘bids’</w:t>
      </w:r>
      <w:r w:rsidR="00452B60">
        <w:rPr>
          <w:b/>
          <w:i/>
          <w:lang w:val="en-GB"/>
        </w:rPr>
        <w:t xml:space="preserve"> and the remainder of this report</w:t>
      </w:r>
      <w:r w:rsidRPr="00375FE0">
        <w:rPr>
          <w:b/>
          <w:i/>
          <w:lang w:val="en-GB"/>
        </w:rPr>
        <w:t>.</w:t>
      </w:r>
    </w:p>
    <w:p w:rsidR="00C92A0D" w:rsidRPr="00457938" w:rsidRDefault="00C92A0D" w:rsidP="00F500B0">
      <w:pPr>
        <w:jc w:val="both"/>
        <w:rPr>
          <w:b/>
          <w:i/>
          <w:lang w:val="en-GB"/>
        </w:rPr>
      </w:pPr>
    </w:p>
    <w:p w:rsidR="00FC2F21" w:rsidRDefault="00B95366" w:rsidP="00DB3270">
      <w:pPr>
        <w:ind w:left="737"/>
        <w:jc w:val="both"/>
        <w:rPr>
          <w:lang w:val="en-GB"/>
        </w:rPr>
      </w:pPr>
      <w:r>
        <w:rPr>
          <w:lang w:val="en-GB"/>
        </w:rPr>
        <w:t xml:space="preserve">I </w:t>
      </w:r>
      <w:r w:rsidR="0007678A">
        <w:rPr>
          <w:lang w:val="en-GB"/>
        </w:rPr>
        <w:t>will be pleased to respond to any quest</w:t>
      </w:r>
      <w:r w:rsidR="00D44865">
        <w:rPr>
          <w:lang w:val="en-GB"/>
        </w:rPr>
        <w:t>ions</w:t>
      </w:r>
      <w:r w:rsidR="00457938">
        <w:rPr>
          <w:lang w:val="en-GB"/>
        </w:rPr>
        <w:t xml:space="preserve"> arising</w:t>
      </w:r>
      <w:r w:rsidR="00360020">
        <w:rPr>
          <w:lang w:val="en-GB"/>
        </w:rPr>
        <w:t xml:space="preserve"> and help the Committee to decide on its recommendations</w:t>
      </w:r>
      <w:r w:rsidR="001C4B5B">
        <w:rPr>
          <w:lang w:val="en-GB"/>
        </w:rPr>
        <w:t>.</w:t>
      </w:r>
    </w:p>
    <w:p w:rsidR="00B95366" w:rsidRDefault="00B95366" w:rsidP="00DB3270">
      <w:pPr>
        <w:ind w:left="737"/>
        <w:jc w:val="both"/>
        <w:rPr>
          <w:lang w:val="en-GB"/>
        </w:rPr>
      </w:pPr>
    </w:p>
    <w:p w:rsidR="00B95366" w:rsidRPr="00FC2F21" w:rsidRDefault="00B95366" w:rsidP="00DB3270">
      <w:pPr>
        <w:ind w:left="737"/>
        <w:jc w:val="both"/>
        <w:rPr>
          <w:lang w:val="en-GB"/>
        </w:rPr>
      </w:pPr>
      <w:r>
        <w:rPr>
          <w:lang w:val="en-GB"/>
        </w:rPr>
        <w:t>Graham Shaw</w:t>
      </w:r>
      <w:r w:rsidR="005662B8">
        <w:rPr>
          <w:lang w:val="en-GB"/>
        </w:rPr>
        <w:t xml:space="preserve">, </w:t>
      </w:r>
      <w:r>
        <w:rPr>
          <w:lang w:val="en-GB"/>
        </w:rPr>
        <w:t>January 20</w:t>
      </w:r>
      <w:r w:rsidR="001D1991">
        <w:rPr>
          <w:lang w:val="en-GB"/>
        </w:rPr>
        <w:t>2</w:t>
      </w:r>
      <w:r w:rsidR="00FB31B7">
        <w:rPr>
          <w:lang w:val="en-GB"/>
        </w:rPr>
        <w:t>1</w:t>
      </w:r>
    </w:p>
    <w:sectPr w:rsidR="00B95366" w:rsidRPr="00FC2F21" w:rsidSect="000B7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3B1" w:rsidRDefault="002E73B1" w:rsidP="008B52B6">
      <w:r>
        <w:separator/>
      </w:r>
    </w:p>
  </w:endnote>
  <w:endnote w:type="continuationSeparator" w:id="0">
    <w:p w:rsidR="002E73B1" w:rsidRDefault="002E73B1" w:rsidP="008B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34" w:rsidRDefault="00340B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34" w:rsidRDefault="00340B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34" w:rsidRDefault="00340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3B1" w:rsidRDefault="002E73B1" w:rsidP="008B52B6">
      <w:r>
        <w:separator/>
      </w:r>
    </w:p>
  </w:footnote>
  <w:footnote w:type="continuationSeparator" w:id="0">
    <w:p w:rsidR="002E73B1" w:rsidRDefault="002E73B1" w:rsidP="008B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34" w:rsidRDefault="00340B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B1" w:rsidRPr="008B52B6" w:rsidRDefault="002E73B1" w:rsidP="008B52B6">
    <w:pPr>
      <w:pStyle w:val="Header"/>
      <w:jc w:val="right"/>
      <w:rPr>
        <w:b/>
      </w:rPr>
    </w:pPr>
    <w:r w:rsidRPr="008B52B6">
      <w:rPr>
        <w:b/>
      </w:rPr>
      <w:t>Agenda Item No.</w:t>
    </w:r>
    <w:r w:rsidR="00340B34">
      <w:rPr>
        <w:b/>
      </w:rPr>
      <w:t xml:space="preserve"> 8</w:t>
    </w:r>
  </w:p>
  <w:p w:rsidR="002E73B1" w:rsidRPr="008B52B6" w:rsidRDefault="002E73B1" w:rsidP="008B52B6">
    <w:pPr>
      <w:pStyle w:val="Header"/>
      <w:jc w:val="right"/>
      <w:rPr>
        <w:b/>
      </w:rPr>
    </w:pPr>
    <w:r w:rsidRPr="008B52B6">
      <w:rPr>
        <w:b/>
      </w:rPr>
      <w:t xml:space="preserve">Appendix </w:t>
    </w:r>
    <w:r w:rsidR="00340B34">
      <w:rPr>
        <w:b/>
      </w:rPr>
      <w:t>4</w:t>
    </w:r>
  </w:p>
  <w:p w:rsidR="002E73B1" w:rsidRPr="008B52B6" w:rsidRDefault="002E73B1" w:rsidP="008B52B6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34" w:rsidRDefault="00340B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F0"/>
    <w:multiLevelType w:val="hybridMultilevel"/>
    <w:tmpl w:val="AD5C2DE2"/>
    <w:lvl w:ilvl="0" w:tplc="F0D815EE">
      <w:start w:val="1"/>
      <w:numFmt w:val="decimal"/>
      <w:lvlText w:val="(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1F66064"/>
    <w:multiLevelType w:val="hybridMultilevel"/>
    <w:tmpl w:val="E708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A1D"/>
    <w:multiLevelType w:val="hybridMultilevel"/>
    <w:tmpl w:val="EFC4DF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893"/>
    <w:multiLevelType w:val="hybridMultilevel"/>
    <w:tmpl w:val="1CA40746"/>
    <w:lvl w:ilvl="0" w:tplc="FDD80F7E">
      <w:start w:val="1"/>
      <w:numFmt w:val="decimal"/>
      <w:lvlText w:val="%1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10DB4450"/>
    <w:multiLevelType w:val="hybridMultilevel"/>
    <w:tmpl w:val="C4D0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46D4F"/>
    <w:multiLevelType w:val="hybridMultilevel"/>
    <w:tmpl w:val="79C62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153DAA"/>
    <w:multiLevelType w:val="hybridMultilevel"/>
    <w:tmpl w:val="DC36C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156CA"/>
    <w:multiLevelType w:val="hybridMultilevel"/>
    <w:tmpl w:val="1AAC8A16"/>
    <w:lvl w:ilvl="0" w:tplc="4D3685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F4949"/>
    <w:multiLevelType w:val="hybridMultilevel"/>
    <w:tmpl w:val="69044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64F7A"/>
    <w:multiLevelType w:val="hybridMultilevel"/>
    <w:tmpl w:val="DE9A4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D6016A"/>
    <w:multiLevelType w:val="hybridMultilevel"/>
    <w:tmpl w:val="BC220AA2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190214CD"/>
    <w:multiLevelType w:val="hybridMultilevel"/>
    <w:tmpl w:val="580EA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6D1879"/>
    <w:multiLevelType w:val="hybridMultilevel"/>
    <w:tmpl w:val="18A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37251"/>
    <w:multiLevelType w:val="hybridMultilevel"/>
    <w:tmpl w:val="D406A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7B78EC"/>
    <w:multiLevelType w:val="hybridMultilevel"/>
    <w:tmpl w:val="7B8E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E1DEB"/>
    <w:multiLevelType w:val="hybridMultilevel"/>
    <w:tmpl w:val="E630503A"/>
    <w:lvl w:ilvl="0" w:tplc="08090015">
      <w:start w:val="1"/>
      <w:numFmt w:val="upp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2AE26D87"/>
    <w:multiLevelType w:val="hybridMultilevel"/>
    <w:tmpl w:val="5C442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A6A79"/>
    <w:multiLevelType w:val="hybridMultilevel"/>
    <w:tmpl w:val="06C02E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E14A67"/>
    <w:multiLevelType w:val="hybridMultilevel"/>
    <w:tmpl w:val="49E2E1D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3405186"/>
    <w:multiLevelType w:val="hybridMultilevel"/>
    <w:tmpl w:val="80DA9984"/>
    <w:lvl w:ilvl="0" w:tplc="834A5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2E438B"/>
    <w:multiLevelType w:val="hybridMultilevel"/>
    <w:tmpl w:val="C66CA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A92E57"/>
    <w:multiLevelType w:val="hybridMultilevel"/>
    <w:tmpl w:val="F25C7E9E"/>
    <w:lvl w:ilvl="0" w:tplc="08090015">
      <w:start w:val="1"/>
      <w:numFmt w:val="upperLetter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EB11F18"/>
    <w:multiLevelType w:val="hybridMultilevel"/>
    <w:tmpl w:val="20140B0A"/>
    <w:lvl w:ilvl="0" w:tplc="08090015">
      <w:start w:val="1"/>
      <w:numFmt w:val="upp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533E3151"/>
    <w:multiLevelType w:val="hybridMultilevel"/>
    <w:tmpl w:val="5DA2AA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43217C"/>
    <w:multiLevelType w:val="hybridMultilevel"/>
    <w:tmpl w:val="A62E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249F9"/>
    <w:multiLevelType w:val="hybridMultilevel"/>
    <w:tmpl w:val="3D3EBEDA"/>
    <w:lvl w:ilvl="0" w:tplc="02BA16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0C59F1"/>
    <w:multiLevelType w:val="hybridMultilevel"/>
    <w:tmpl w:val="9836B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F95AD1"/>
    <w:multiLevelType w:val="hybridMultilevel"/>
    <w:tmpl w:val="B9DCD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1C068B"/>
    <w:multiLevelType w:val="hybridMultilevel"/>
    <w:tmpl w:val="80C0C0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AF3214"/>
    <w:multiLevelType w:val="hybridMultilevel"/>
    <w:tmpl w:val="CA2C92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CF1A05"/>
    <w:multiLevelType w:val="hybridMultilevel"/>
    <w:tmpl w:val="F56264E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B1C6A13"/>
    <w:multiLevelType w:val="hybridMultilevel"/>
    <w:tmpl w:val="64A68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997FA9"/>
    <w:multiLevelType w:val="hybridMultilevel"/>
    <w:tmpl w:val="B9F0A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F00B7F"/>
    <w:multiLevelType w:val="hybridMultilevel"/>
    <w:tmpl w:val="690446DE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DE9275B"/>
    <w:multiLevelType w:val="hybridMultilevel"/>
    <w:tmpl w:val="FA2C153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6"/>
  </w:num>
  <w:num w:numId="5">
    <w:abstractNumId w:val="19"/>
  </w:num>
  <w:num w:numId="6">
    <w:abstractNumId w:val="30"/>
  </w:num>
  <w:num w:numId="7">
    <w:abstractNumId w:val="5"/>
  </w:num>
  <w:num w:numId="8">
    <w:abstractNumId w:val="11"/>
  </w:num>
  <w:num w:numId="9">
    <w:abstractNumId w:val="27"/>
  </w:num>
  <w:num w:numId="10">
    <w:abstractNumId w:val="20"/>
  </w:num>
  <w:num w:numId="11">
    <w:abstractNumId w:val="1"/>
  </w:num>
  <w:num w:numId="12">
    <w:abstractNumId w:val="8"/>
  </w:num>
  <w:num w:numId="13">
    <w:abstractNumId w:val="33"/>
  </w:num>
  <w:num w:numId="14">
    <w:abstractNumId w:val="0"/>
  </w:num>
  <w:num w:numId="15">
    <w:abstractNumId w:val="2"/>
  </w:num>
  <w:num w:numId="16">
    <w:abstractNumId w:val="34"/>
  </w:num>
  <w:num w:numId="17">
    <w:abstractNumId w:val="15"/>
  </w:num>
  <w:num w:numId="18">
    <w:abstractNumId w:val="25"/>
  </w:num>
  <w:num w:numId="19">
    <w:abstractNumId w:val="21"/>
  </w:num>
  <w:num w:numId="20">
    <w:abstractNumId w:val="29"/>
  </w:num>
  <w:num w:numId="21">
    <w:abstractNumId w:val="10"/>
  </w:num>
  <w:num w:numId="22">
    <w:abstractNumId w:val="4"/>
  </w:num>
  <w:num w:numId="23">
    <w:abstractNumId w:val="24"/>
  </w:num>
  <w:num w:numId="24">
    <w:abstractNumId w:val="32"/>
  </w:num>
  <w:num w:numId="25">
    <w:abstractNumId w:val="28"/>
  </w:num>
  <w:num w:numId="26">
    <w:abstractNumId w:val="31"/>
  </w:num>
  <w:num w:numId="27">
    <w:abstractNumId w:val="16"/>
  </w:num>
  <w:num w:numId="28">
    <w:abstractNumId w:val="22"/>
  </w:num>
  <w:num w:numId="29">
    <w:abstractNumId w:val="6"/>
  </w:num>
  <w:num w:numId="30">
    <w:abstractNumId w:val="12"/>
  </w:num>
  <w:num w:numId="31">
    <w:abstractNumId w:val="14"/>
  </w:num>
  <w:num w:numId="32">
    <w:abstractNumId w:val="17"/>
  </w:num>
  <w:num w:numId="33">
    <w:abstractNumId w:val="23"/>
  </w:num>
  <w:num w:numId="34">
    <w:abstractNumId w:val="13"/>
  </w:num>
  <w:num w:numId="35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6D5"/>
    <w:rsid w:val="0000140F"/>
    <w:rsid w:val="0000159F"/>
    <w:rsid w:val="000030F4"/>
    <w:rsid w:val="0000733E"/>
    <w:rsid w:val="00020C81"/>
    <w:rsid w:val="0002159F"/>
    <w:rsid w:val="00031EEF"/>
    <w:rsid w:val="00045831"/>
    <w:rsid w:val="00047520"/>
    <w:rsid w:val="00053527"/>
    <w:rsid w:val="00053B7C"/>
    <w:rsid w:val="0005406A"/>
    <w:rsid w:val="000566CF"/>
    <w:rsid w:val="00060577"/>
    <w:rsid w:val="00064100"/>
    <w:rsid w:val="0007678A"/>
    <w:rsid w:val="00076D6B"/>
    <w:rsid w:val="00086BBF"/>
    <w:rsid w:val="00091461"/>
    <w:rsid w:val="0009387B"/>
    <w:rsid w:val="0009432B"/>
    <w:rsid w:val="00096C6E"/>
    <w:rsid w:val="000B2470"/>
    <w:rsid w:val="000B3F8B"/>
    <w:rsid w:val="000B7423"/>
    <w:rsid w:val="000C0E1C"/>
    <w:rsid w:val="000C5627"/>
    <w:rsid w:val="000C5828"/>
    <w:rsid w:val="000D0497"/>
    <w:rsid w:val="000D138C"/>
    <w:rsid w:val="000E1283"/>
    <w:rsid w:val="000E19CF"/>
    <w:rsid w:val="000E668F"/>
    <w:rsid w:val="000E6D75"/>
    <w:rsid w:val="000E79CC"/>
    <w:rsid w:val="000F77B9"/>
    <w:rsid w:val="00112B92"/>
    <w:rsid w:val="00112C09"/>
    <w:rsid w:val="001164A0"/>
    <w:rsid w:val="001167ED"/>
    <w:rsid w:val="00122A69"/>
    <w:rsid w:val="00134910"/>
    <w:rsid w:val="0014104C"/>
    <w:rsid w:val="00142CA3"/>
    <w:rsid w:val="00154E4A"/>
    <w:rsid w:val="00161377"/>
    <w:rsid w:val="00171790"/>
    <w:rsid w:val="001717BB"/>
    <w:rsid w:val="00173522"/>
    <w:rsid w:val="00176170"/>
    <w:rsid w:val="00176C66"/>
    <w:rsid w:val="00177FE0"/>
    <w:rsid w:val="00181390"/>
    <w:rsid w:val="00181F4A"/>
    <w:rsid w:val="00185352"/>
    <w:rsid w:val="00195537"/>
    <w:rsid w:val="001979B4"/>
    <w:rsid w:val="001A31A6"/>
    <w:rsid w:val="001A3913"/>
    <w:rsid w:val="001A47CE"/>
    <w:rsid w:val="001A6FD8"/>
    <w:rsid w:val="001A7DE2"/>
    <w:rsid w:val="001B08C1"/>
    <w:rsid w:val="001B0A75"/>
    <w:rsid w:val="001B10F6"/>
    <w:rsid w:val="001C0619"/>
    <w:rsid w:val="001C1FD0"/>
    <w:rsid w:val="001C4B5B"/>
    <w:rsid w:val="001C6362"/>
    <w:rsid w:val="001D0575"/>
    <w:rsid w:val="001D073F"/>
    <w:rsid w:val="001D0E28"/>
    <w:rsid w:val="001D1991"/>
    <w:rsid w:val="001D2B0E"/>
    <w:rsid w:val="001D2C3D"/>
    <w:rsid w:val="001E7110"/>
    <w:rsid w:val="001F00A4"/>
    <w:rsid w:val="001F1862"/>
    <w:rsid w:val="001F1AD7"/>
    <w:rsid w:val="001F507E"/>
    <w:rsid w:val="001F5EAB"/>
    <w:rsid w:val="002008A5"/>
    <w:rsid w:val="0021367C"/>
    <w:rsid w:val="002162EB"/>
    <w:rsid w:val="002232B0"/>
    <w:rsid w:val="0022501E"/>
    <w:rsid w:val="00226A36"/>
    <w:rsid w:val="00234B84"/>
    <w:rsid w:val="0024179F"/>
    <w:rsid w:val="00244869"/>
    <w:rsid w:val="00246862"/>
    <w:rsid w:val="00246ADE"/>
    <w:rsid w:val="00246CBD"/>
    <w:rsid w:val="00253759"/>
    <w:rsid w:val="002636A8"/>
    <w:rsid w:val="00264EE2"/>
    <w:rsid w:val="00264EF8"/>
    <w:rsid w:val="00266CE6"/>
    <w:rsid w:val="00270DFB"/>
    <w:rsid w:val="002759AE"/>
    <w:rsid w:val="0028142C"/>
    <w:rsid w:val="00295559"/>
    <w:rsid w:val="002964BD"/>
    <w:rsid w:val="002A09E9"/>
    <w:rsid w:val="002A120D"/>
    <w:rsid w:val="002B042E"/>
    <w:rsid w:val="002B1E65"/>
    <w:rsid w:val="002B4623"/>
    <w:rsid w:val="002B5D9D"/>
    <w:rsid w:val="002B76EB"/>
    <w:rsid w:val="002C6A23"/>
    <w:rsid w:val="002D69AE"/>
    <w:rsid w:val="002E73B1"/>
    <w:rsid w:val="002E743B"/>
    <w:rsid w:val="002F065A"/>
    <w:rsid w:val="0030146C"/>
    <w:rsid w:val="00302A87"/>
    <w:rsid w:val="00305024"/>
    <w:rsid w:val="00310D0D"/>
    <w:rsid w:val="00313E2E"/>
    <w:rsid w:val="00317F5B"/>
    <w:rsid w:val="00323DC9"/>
    <w:rsid w:val="0034068D"/>
    <w:rsid w:val="00340B34"/>
    <w:rsid w:val="00344784"/>
    <w:rsid w:val="003472DB"/>
    <w:rsid w:val="00360020"/>
    <w:rsid w:val="0037137E"/>
    <w:rsid w:val="00373D6F"/>
    <w:rsid w:val="00375FE0"/>
    <w:rsid w:val="00380446"/>
    <w:rsid w:val="003902FC"/>
    <w:rsid w:val="003919BC"/>
    <w:rsid w:val="0039582D"/>
    <w:rsid w:val="00395878"/>
    <w:rsid w:val="003A127D"/>
    <w:rsid w:val="003A1C48"/>
    <w:rsid w:val="003B0C00"/>
    <w:rsid w:val="003B1AEF"/>
    <w:rsid w:val="003C4B1D"/>
    <w:rsid w:val="003D037F"/>
    <w:rsid w:val="003D138D"/>
    <w:rsid w:val="003F253A"/>
    <w:rsid w:val="00406305"/>
    <w:rsid w:val="00407C96"/>
    <w:rsid w:val="004125B5"/>
    <w:rsid w:val="00415A25"/>
    <w:rsid w:val="00421F70"/>
    <w:rsid w:val="00435024"/>
    <w:rsid w:val="004418EC"/>
    <w:rsid w:val="00446823"/>
    <w:rsid w:val="00447ABB"/>
    <w:rsid w:val="00452B60"/>
    <w:rsid w:val="00457938"/>
    <w:rsid w:val="00461F7D"/>
    <w:rsid w:val="00464AEF"/>
    <w:rsid w:val="004656CE"/>
    <w:rsid w:val="0047550E"/>
    <w:rsid w:val="00492146"/>
    <w:rsid w:val="00497EC7"/>
    <w:rsid w:val="004A209F"/>
    <w:rsid w:val="004A42B0"/>
    <w:rsid w:val="004A5097"/>
    <w:rsid w:val="004B795F"/>
    <w:rsid w:val="004C0F03"/>
    <w:rsid w:val="004D19A0"/>
    <w:rsid w:val="004D28DB"/>
    <w:rsid w:val="004D5FA7"/>
    <w:rsid w:val="004F29D7"/>
    <w:rsid w:val="004F5245"/>
    <w:rsid w:val="004F6D53"/>
    <w:rsid w:val="005004A7"/>
    <w:rsid w:val="00501F8F"/>
    <w:rsid w:val="00506708"/>
    <w:rsid w:val="00506871"/>
    <w:rsid w:val="00511888"/>
    <w:rsid w:val="00511ACF"/>
    <w:rsid w:val="00512911"/>
    <w:rsid w:val="00521C8D"/>
    <w:rsid w:val="00521E08"/>
    <w:rsid w:val="005224D2"/>
    <w:rsid w:val="0052336F"/>
    <w:rsid w:val="0054273A"/>
    <w:rsid w:val="00553587"/>
    <w:rsid w:val="00560894"/>
    <w:rsid w:val="00560F26"/>
    <w:rsid w:val="00562998"/>
    <w:rsid w:val="00564BA1"/>
    <w:rsid w:val="00564CC5"/>
    <w:rsid w:val="005662B8"/>
    <w:rsid w:val="00566840"/>
    <w:rsid w:val="005748DF"/>
    <w:rsid w:val="00574984"/>
    <w:rsid w:val="005802A9"/>
    <w:rsid w:val="0059768A"/>
    <w:rsid w:val="005A18C6"/>
    <w:rsid w:val="005B0AC7"/>
    <w:rsid w:val="005C196A"/>
    <w:rsid w:val="005C2417"/>
    <w:rsid w:val="005C5A2D"/>
    <w:rsid w:val="005C7017"/>
    <w:rsid w:val="005C72DF"/>
    <w:rsid w:val="005D0E6F"/>
    <w:rsid w:val="005D32D7"/>
    <w:rsid w:val="005D6592"/>
    <w:rsid w:val="005D671A"/>
    <w:rsid w:val="005E65FB"/>
    <w:rsid w:val="005E7676"/>
    <w:rsid w:val="005F591E"/>
    <w:rsid w:val="005F69BF"/>
    <w:rsid w:val="00601397"/>
    <w:rsid w:val="00603080"/>
    <w:rsid w:val="00605B3F"/>
    <w:rsid w:val="00607F05"/>
    <w:rsid w:val="00613317"/>
    <w:rsid w:val="00617E6A"/>
    <w:rsid w:val="006277A6"/>
    <w:rsid w:val="00633096"/>
    <w:rsid w:val="0063580C"/>
    <w:rsid w:val="00642847"/>
    <w:rsid w:val="006459CE"/>
    <w:rsid w:val="00647803"/>
    <w:rsid w:val="00647FB9"/>
    <w:rsid w:val="0065163C"/>
    <w:rsid w:val="00656E5F"/>
    <w:rsid w:val="00664C73"/>
    <w:rsid w:val="00667603"/>
    <w:rsid w:val="00680866"/>
    <w:rsid w:val="00682A2C"/>
    <w:rsid w:val="00684996"/>
    <w:rsid w:val="00687010"/>
    <w:rsid w:val="00692367"/>
    <w:rsid w:val="006957D6"/>
    <w:rsid w:val="006A18E6"/>
    <w:rsid w:val="006A1C8F"/>
    <w:rsid w:val="006A7E79"/>
    <w:rsid w:val="006B0BE7"/>
    <w:rsid w:val="006B6D1B"/>
    <w:rsid w:val="006B7A04"/>
    <w:rsid w:val="006C3305"/>
    <w:rsid w:val="006C3431"/>
    <w:rsid w:val="006C6450"/>
    <w:rsid w:val="006C68B3"/>
    <w:rsid w:val="006C7743"/>
    <w:rsid w:val="006E44E2"/>
    <w:rsid w:val="006F1612"/>
    <w:rsid w:val="006F2378"/>
    <w:rsid w:val="007014EE"/>
    <w:rsid w:val="00702EA7"/>
    <w:rsid w:val="00703952"/>
    <w:rsid w:val="00704104"/>
    <w:rsid w:val="00704E4D"/>
    <w:rsid w:val="00711545"/>
    <w:rsid w:val="0071210F"/>
    <w:rsid w:val="00713584"/>
    <w:rsid w:val="007255F4"/>
    <w:rsid w:val="00732E10"/>
    <w:rsid w:val="00740FC3"/>
    <w:rsid w:val="007420F5"/>
    <w:rsid w:val="007552FA"/>
    <w:rsid w:val="007572F8"/>
    <w:rsid w:val="00762B18"/>
    <w:rsid w:val="00767B15"/>
    <w:rsid w:val="0077247C"/>
    <w:rsid w:val="00773DEB"/>
    <w:rsid w:val="007768EE"/>
    <w:rsid w:val="007870D5"/>
    <w:rsid w:val="007901F7"/>
    <w:rsid w:val="007A3F0C"/>
    <w:rsid w:val="007A49AC"/>
    <w:rsid w:val="007A4E02"/>
    <w:rsid w:val="007A58A3"/>
    <w:rsid w:val="007B15AF"/>
    <w:rsid w:val="007D0487"/>
    <w:rsid w:val="007E2DC0"/>
    <w:rsid w:val="007E37E7"/>
    <w:rsid w:val="007E4816"/>
    <w:rsid w:val="007E5A37"/>
    <w:rsid w:val="007E6C88"/>
    <w:rsid w:val="007F2EA5"/>
    <w:rsid w:val="007F577F"/>
    <w:rsid w:val="007F5851"/>
    <w:rsid w:val="007F6CFB"/>
    <w:rsid w:val="00804D76"/>
    <w:rsid w:val="0081138A"/>
    <w:rsid w:val="00820B4C"/>
    <w:rsid w:val="00820F7C"/>
    <w:rsid w:val="00827523"/>
    <w:rsid w:val="008322CA"/>
    <w:rsid w:val="00841266"/>
    <w:rsid w:val="0084280A"/>
    <w:rsid w:val="0084318A"/>
    <w:rsid w:val="00844F30"/>
    <w:rsid w:val="00846B5D"/>
    <w:rsid w:val="008472F8"/>
    <w:rsid w:val="00847C6A"/>
    <w:rsid w:val="008514BF"/>
    <w:rsid w:val="00855499"/>
    <w:rsid w:val="0085734B"/>
    <w:rsid w:val="00867601"/>
    <w:rsid w:val="0087308E"/>
    <w:rsid w:val="0087486C"/>
    <w:rsid w:val="00874FC2"/>
    <w:rsid w:val="00893C87"/>
    <w:rsid w:val="00894D4E"/>
    <w:rsid w:val="00895DE0"/>
    <w:rsid w:val="00896658"/>
    <w:rsid w:val="00896F67"/>
    <w:rsid w:val="008977B6"/>
    <w:rsid w:val="008A1219"/>
    <w:rsid w:val="008A3AA5"/>
    <w:rsid w:val="008A59ED"/>
    <w:rsid w:val="008A68A1"/>
    <w:rsid w:val="008B4CE2"/>
    <w:rsid w:val="008B4EC1"/>
    <w:rsid w:val="008B52B6"/>
    <w:rsid w:val="008D03E7"/>
    <w:rsid w:val="008D25D6"/>
    <w:rsid w:val="008D2612"/>
    <w:rsid w:val="008D41B0"/>
    <w:rsid w:val="008D53D9"/>
    <w:rsid w:val="008D6AE7"/>
    <w:rsid w:val="008D7A4E"/>
    <w:rsid w:val="008E2C56"/>
    <w:rsid w:val="008E5072"/>
    <w:rsid w:val="008F25D8"/>
    <w:rsid w:val="008F27B0"/>
    <w:rsid w:val="008F4DEB"/>
    <w:rsid w:val="008F52C3"/>
    <w:rsid w:val="008F6958"/>
    <w:rsid w:val="009102E6"/>
    <w:rsid w:val="0091281D"/>
    <w:rsid w:val="00914603"/>
    <w:rsid w:val="00915CB4"/>
    <w:rsid w:val="00921744"/>
    <w:rsid w:val="00934662"/>
    <w:rsid w:val="009411D9"/>
    <w:rsid w:val="0094437B"/>
    <w:rsid w:val="00945B62"/>
    <w:rsid w:val="00946B82"/>
    <w:rsid w:val="009645ED"/>
    <w:rsid w:val="00964FC1"/>
    <w:rsid w:val="0096718C"/>
    <w:rsid w:val="00967E3A"/>
    <w:rsid w:val="00967EF0"/>
    <w:rsid w:val="00974861"/>
    <w:rsid w:val="00974E69"/>
    <w:rsid w:val="0097614C"/>
    <w:rsid w:val="00982F34"/>
    <w:rsid w:val="00991F2D"/>
    <w:rsid w:val="0099738E"/>
    <w:rsid w:val="009A1C3F"/>
    <w:rsid w:val="009B1158"/>
    <w:rsid w:val="009B2F57"/>
    <w:rsid w:val="009B4245"/>
    <w:rsid w:val="009B5DF5"/>
    <w:rsid w:val="009B6281"/>
    <w:rsid w:val="009B699E"/>
    <w:rsid w:val="009C22BC"/>
    <w:rsid w:val="009D390E"/>
    <w:rsid w:val="009E1EA6"/>
    <w:rsid w:val="009E2842"/>
    <w:rsid w:val="009E401F"/>
    <w:rsid w:val="009E40D3"/>
    <w:rsid w:val="009E5B53"/>
    <w:rsid w:val="009E69E5"/>
    <w:rsid w:val="009F227E"/>
    <w:rsid w:val="009F2E7F"/>
    <w:rsid w:val="009F3781"/>
    <w:rsid w:val="009F7574"/>
    <w:rsid w:val="009F7E22"/>
    <w:rsid w:val="00A01888"/>
    <w:rsid w:val="00A02877"/>
    <w:rsid w:val="00A05002"/>
    <w:rsid w:val="00A10998"/>
    <w:rsid w:val="00A24520"/>
    <w:rsid w:val="00A27087"/>
    <w:rsid w:val="00A27E2C"/>
    <w:rsid w:val="00A301B4"/>
    <w:rsid w:val="00A4042F"/>
    <w:rsid w:val="00A461F0"/>
    <w:rsid w:val="00A54355"/>
    <w:rsid w:val="00A54965"/>
    <w:rsid w:val="00A5545D"/>
    <w:rsid w:val="00A57CDC"/>
    <w:rsid w:val="00A63446"/>
    <w:rsid w:val="00A6352E"/>
    <w:rsid w:val="00A638CA"/>
    <w:rsid w:val="00A66BA9"/>
    <w:rsid w:val="00A73769"/>
    <w:rsid w:val="00A80C9A"/>
    <w:rsid w:val="00A83796"/>
    <w:rsid w:val="00A86858"/>
    <w:rsid w:val="00A87324"/>
    <w:rsid w:val="00A96FB9"/>
    <w:rsid w:val="00AB09D4"/>
    <w:rsid w:val="00AB2599"/>
    <w:rsid w:val="00AB38C9"/>
    <w:rsid w:val="00AB6065"/>
    <w:rsid w:val="00AC0CF4"/>
    <w:rsid w:val="00AC5D5E"/>
    <w:rsid w:val="00AC631F"/>
    <w:rsid w:val="00AD144D"/>
    <w:rsid w:val="00AD3767"/>
    <w:rsid w:val="00AD63EE"/>
    <w:rsid w:val="00AE53BD"/>
    <w:rsid w:val="00AE55DA"/>
    <w:rsid w:val="00AF00B0"/>
    <w:rsid w:val="00AF0A74"/>
    <w:rsid w:val="00B12B40"/>
    <w:rsid w:val="00B12F14"/>
    <w:rsid w:val="00B135B9"/>
    <w:rsid w:val="00B13C6C"/>
    <w:rsid w:val="00B161A4"/>
    <w:rsid w:val="00B217A6"/>
    <w:rsid w:val="00B33BEA"/>
    <w:rsid w:val="00B34216"/>
    <w:rsid w:val="00B3442A"/>
    <w:rsid w:val="00B4157E"/>
    <w:rsid w:val="00B430BB"/>
    <w:rsid w:val="00B45350"/>
    <w:rsid w:val="00B503E5"/>
    <w:rsid w:val="00B52B0D"/>
    <w:rsid w:val="00B53DC2"/>
    <w:rsid w:val="00B6511D"/>
    <w:rsid w:val="00B66661"/>
    <w:rsid w:val="00B7719B"/>
    <w:rsid w:val="00B81D9B"/>
    <w:rsid w:val="00B82207"/>
    <w:rsid w:val="00B83B8F"/>
    <w:rsid w:val="00B84F30"/>
    <w:rsid w:val="00B92E71"/>
    <w:rsid w:val="00B93678"/>
    <w:rsid w:val="00B95366"/>
    <w:rsid w:val="00B955BF"/>
    <w:rsid w:val="00BA14FE"/>
    <w:rsid w:val="00BA26EA"/>
    <w:rsid w:val="00BA575D"/>
    <w:rsid w:val="00BB4AA9"/>
    <w:rsid w:val="00BC2064"/>
    <w:rsid w:val="00BD14BA"/>
    <w:rsid w:val="00BD55C2"/>
    <w:rsid w:val="00BE1B15"/>
    <w:rsid w:val="00BE2A58"/>
    <w:rsid w:val="00BE39A5"/>
    <w:rsid w:val="00BE4529"/>
    <w:rsid w:val="00BE6370"/>
    <w:rsid w:val="00BF0FB9"/>
    <w:rsid w:val="00BF1905"/>
    <w:rsid w:val="00BF3EAE"/>
    <w:rsid w:val="00BF6B94"/>
    <w:rsid w:val="00BF70D6"/>
    <w:rsid w:val="00C01DD3"/>
    <w:rsid w:val="00C0253F"/>
    <w:rsid w:val="00C06877"/>
    <w:rsid w:val="00C12E48"/>
    <w:rsid w:val="00C216B2"/>
    <w:rsid w:val="00C221E2"/>
    <w:rsid w:val="00C27DF3"/>
    <w:rsid w:val="00C31E7C"/>
    <w:rsid w:val="00C369D5"/>
    <w:rsid w:val="00C41A2A"/>
    <w:rsid w:val="00C44CAB"/>
    <w:rsid w:val="00C52753"/>
    <w:rsid w:val="00C650AA"/>
    <w:rsid w:val="00C67E6B"/>
    <w:rsid w:val="00C743AB"/>
    <w:rsid w:val="00C75666"/>
    <w:rsid w:val="00C7683B"/>
    <w:rsid w:val="00C84F17"/>
    <w:rsid w:val="00C853BF"/>
    <w:rsid w:val="00C92A0D"/>
    <w:rsid w:val="00C92F88"/>
    <w:rsid w:val="00C9575C"/>
    <w:rsid w:val="00CB12D9"/>
    <w:rsid w:val="00CB5C66"/>
    <w:rsid w:val="00CC0824"/>
    <w:rsid w:val="00CC3F0C"/>
    <w:rsid w:val="00CC57BC"/>
    <w:rsid w:val="00CD4EC1"/>
    <w:rsid w:val="00CD5C75"/>
    <w:rsid w:val="00CD7B10"/>
    <w:rsid w:val="00CE118B"/>
    <w:rsid w:val="00CE275A"/>
    <w:rsid w:val="00CE57AF"/>
    <w:rsid w:val="00CE7DBC"/>
    <w:rsid w:val="00CF30DE"/>
    <w:rsid w:val="00CF38BC"/>
    <w:rsid w:val="00CF3B5C"/>
    <w:rsid w:val="00D0107F"/>
    <w:rsid w:val="00D10679"/>
    <w:rsid w:val="00D11961"/>
    <w:rsid w:val="00D23053"/>
    <w:rsid w:val="00D33D2A"/>
    <w:rsid w:val="00D44865"/>
    <w:rsid w:val="00D46818"/>
    <w:rsid w:val="00D5459C"/>
    <w:rsid w:val="00D64301"/>
    <w:rsid w:val="00D65896"/>
    <w:rsid w:val="00D72AC4"/>
    <w:rsid w:val="00D80BD8"/>
    <w:rsid w:val="00D82953"/>
    <w:rsid w:val="00D83502"/>
    <w:rsid w:val="00D86705"/>
    <w:rsid w:val="00DA1EEB"/>
    <w:rsid w:val="00DB0056"/>
    <w:rsid w:val="00DB3270"/>
    <w:rsid w:val="00DC00D0"/>
    <w:rsid w:val="00DC0BF0"/>
    <w:rsid w:val="00DC7BE9"/>
    <w:rsid w:val="00DD1671"/>
    <w:rsid w:val="00DE33C6"/>
    <w:rsid w:val="00DE504E"/>
    <w:rsid w:val="00DE70ED"/>
    <w:rsid w:val="00DE74A2"/>
    <w:rsid w:val="00DF6BD4"/>
    <w:rsid w:val="00E02569"/>
    <w:rsid w:val="00E07119"/>
    <w:rsid w:val="00E133A4"/>
    <w:rsid w:val="00E13DC2"/>
    <w:rsid w:val="00E16FE6"/>
    <w:rsid w:val="00E1763E"/>
    <w:rsid w:val="00E2025D"/>
    <w:rsid w:val="00E22598"/>
    <w:rsid w:val="00E239DC"/>
    <w:rsid w:val="00E3502C"/>
    <w:rsid w:val="00E355E4"/>
    <w:rsid w:val="00E35BF3"/>
    <w:rsid w:val="00E408C1"/>
    <w:rsid w:val="00E41335"/>
    <w:rsid w:val="00E419B7"/>
    <w:rsid w:val="00E43990"/>
    <w:rsid w:val="00E45BA6"/>
    <w:rsid w:val="00E508CF"/>
    <w:rsid w:val="00E520DE"/>
    <w:rsid w:val="00E52CF2"/>
    <w:rsid w:val="00E554DC"/>
    <w:rsid w:val="00E56E86"/>
    <w:rsid w:val="00E57501"/>
    <w:rsid w:val="00E625BF"/>
    <w:rsid w:val="00E636E9"/>
    <w:rsid w:val="00E67748"/>
    <w:rsid w:val="00E701CE"/>
    <w:rsid w:val="00E75DAB"/>
    <w:rsid w:val="00E81362"/>
    <w:rsid w:val="00E814AB"/>
    <w:rsid w:val="00E86C77"/>
    <w:rsid w:val="00E93DCB"/>
    <w:rsid w:val="00EB2A56"/>
    <w:rsid w:val="00EB6C6F"/>
    <w:rsid w:val="00EB7690"/>
    <w:rsid w:val="00EC00A6"/>
    <w:rsid w:val="00ED2072"/>
    <w:rsid w:val="00ED396B"/>
    <w:rsid w:val="00EE246C"/>
    <w:rsid w:val="00EE2721"/>
    <w:rsid w:val="00EE3B1B"/>
    <w:rsid w:val="00EE4A2A"/>
    <w:rsid w:val="00F10FFF"/>
    <w:rsid w:val="00F12472"/>
    <w:rsid w:val="00F14FB5"/>
    <w:rsid w:val="00F206D5"/>
    <w:rsid w:val="00F23C88"/>
    <w:rsid w:val="00F248C7"/>
    <w:rsid w:val="00F311CC"/>
    <w:rsid w:val="00F36B42"/>
    <w:rsid w:val="00F42B02"/>
    <w:rsid w:val="00F43DE1"/>
    <w:rsid w:val="00F45358"/>
    <w:rsid w:val="00F500B0"/>
    <w:rsid w:val="00F53707"/>
    <w:rsid w:val="00F57833"/>
    <w:rsid w:val="00F610BA"/>
    <w:rsid w:val="00F639B1"/>
    <w:rsid w:val="00F64F2F"/>
    <w:rsid w:val="00F6666C"/>
    <w:rsid w:val="00F74258"/>
    <w:rsid w:val="00F82BA4"/>
    <w:rsid w:val="00F84814"/>
    <w:rsid w:val="00F8592E"/>
    <w:rsid w:val="00F861C5"/>
    <w:rsid w:val="00FA38EB"/>
    <w:rsid w:val="00FA78A7"/>
    <w:rsid w:val="00FB1D63"/>
    <w:rsid w:val="00FB31B7"/>
    <w:rsid w:val="00FC1A99"/>
    <w:rsid w:val="00FC2F21"/>
    <w:rsid w:val="00FC4314"/>
    <w:rsid w:val="00FC4491"/>
    <w:rsid w:val="00FC58D0"/>
    <w:rsid w:val="00FD29D5"/>
    <w:rsid w:val="00FD2B88"/>
    <w:rsid w:val="00FD5982"/>
    <w:rsid w:val="00FE1F3F"/>
    <w:rsid w:val="00FE25B7"/>
    <w:rsid w:val="00FF20D1"/>
    <w:rsid w:val="00FF2D8D"/>
    <w:rsid w:val="00FF46E5"/>
    <w:rsid w:val="00FF6C14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47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F0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8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348629630msonormal">
    <w:name w:val="yiv9348629630msonormal"/>
    <w:basedOn w:val="Normal"/>
    <w:rsid w:val="00A301B4"/>
    <w:pPr>
      <w:spacing w:before="100" w:beforeAutospacing="1" w:after="100" w:afterAutospacing="1"/>
    </w:pPr>
    <w:rPr>
      <w:lang w:val="en-GB" w:eastAsia="en-GB"/>
    </w:rPr>
  </w:style>
  <w:style w:type="table" w:styleId="Table3Deffects3">
    <w:name w:val="Table 3D effects 3"/>
    <w:basedOn w:val="TableNormal"/>
    <w:rsid w:val="000943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B5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B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B5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2B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F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8BDA-88C6-4798-94D8-86AE2351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1637</Words>
  <Characters>8476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STOURPORT-ON-SEVERN TOWN COUNCIL</vt:lpstr>
    </vt:vector>
  </TitlesOfParts>
  <Company>Hewlett-Packard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STOURPORT-ON-SEVERN TOWN COUNCIL</dc:title>
  <dc:creator>Stourport Town Council</dc:creator>
  <cp:lastModifiedBy>AnnettePh</cp:lastModifiedBy>
  <cp:revision>7</cp:revision>
  <cp:lastPrinted>2021-01-20T10:03:00Z</cp:lastPrinted>
  <dcterms:created xsi:type="dcterms:W3CDTF">2021-01-19T11:48:00Z</dcterms:created>
  <dcterms:modified xsi:type="dcterms:W3CDTF">2021-01-20T10:03:00Z</dcterms:modified>
</cp:coreProperties>
</file>